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F2F" w:rsidRPr="00C64151" w:rsidRDefault="006F5F2F" w:rsidP="006F5F2F">
      <w:pPr>
        <w:jc w:val="center"/>
        <w:rPr>
          <w:b/>
          <w:szCs w:val="26"/>
        </w:rPr>
      </w:pPr>
      <w:r w:rsidRPr="00C64151">
        <w:rPr>
          <w:b/>
          <w:szCs w:val="26"/>
        </w:rPr>
        <w:t xml:space="preserve">CỘNG HÒA XÃ HỘI CHỦ NGHĨA VIỆT </w:t>
      </w:r>
      <w:smartTag w:uri="urn:schemas-microsoft-com:office:smarttags" w:element="country-region">
        <w:smartTag w:uri="urn:schemas-microsoft-com:office:smarttags" w:element="place">
          <w:r w:rsidRPr="00C64151">
            <w:rPr>
              <w:b/>
              <w:szCs w:val="26"/>
            </w:rPr>
            <w:t>NAM</w:t>
          </w:r>
        </w:smartTag>
      </w:smartTag>
    </w:p>
    <w:p w:rsidR="006F5F2F" w:rsidRPr="00C64151" w:rsidRDefault="006F5F2F" w:rsidP="006F5F2F">
      <w:pPr>
        <w:jc w:val="center"/>
        <w:rPr>
          <w:b/>
          <w:szCs w:val="26"/>
        </w:rPr>
      </w:pPr>
      <w:r w:rsidRPr="00C64151">
        <w:rPr>
          <w:b/>
          <w:szCs w:val="26"/>
        </w:rPr>
        <w:t>Độc lập – Tự do – Hạnh phúc</w:t>
      </w:r>
    </w:p>
    <w:p w:rsidR="0071369C" w:rsidRDefault="0071369C" w:rsidP="006F5F2F">
      <w:pPr>
        <w:spacing w:before="120" w:after="120" w:line="24" w:lineRule="atLeast"/>
        <w:jc w:val="center"/>
        <w:rPr>
          <w:b/>
          <w:bCs/>
          <w:szCs w:val="26"/>
        </w:rPr>
      </w:pPr>
      <w:r>
        <w:rPr>
          <w:b/>
          <w:bCs/>
          <w:noProof/>
          <w:szCs w:val="26"/>
        </w:rPr>
        <w:pict>
          <v:shapetype id="_x0000_t32" coordsize="21600,21600" o:spt="32" o:oned="t" path="m,l21600,21600e" filled="f">
            <v:path arrowok="t" fillok="f" o:connecttype="none"/>
            <o:lock v:ext="edit" shapetype="t"/>
          </v:shapetype>
          <v:shape id="_x0000_s1027" type="#_x0000_t32" style="position:absolute;left:0;text-align:left;margin-left:154.4pt;margin-top:2.7pt;width:157.05pt;height:.05pt;z-index:251661312" o:connectortype="straight"/>
        </w:pict>
      </w:r>
    </w:p>
    <w:p w:rsidR="0071369C" w:rsidRDefault="0071369C" w:rsidP="006F5F2F">
      <w:pPr>
        <w:spacing w:before="120" w:after="120" w:line="24" w:lineRule="atLeast"/>
        <w:jc w:val="center"/>
        <w:rPr>
          <w:b/>
          <w:bCs/>
          <w:szCs w:val="26"/>
        </w:rPr>
      </w:pPr>
    </w:p>
    <w:p w:rsidR="006F5F2F" w:rsidRPr="00C64151" w:rsidRDefault="006F5F2F" w:rsidP="006F5F2F">
      <w:pPr>
        <w:spacing w:before="120" w:after="120" w:line="24" w:lineRule="atLeast"/>
        <w:jc w:val="center"/>
        <w:rPr>
          <w:b/>
          <w:bCs/>
          <w:szCs w:val="26"/>
        </w:rPr>
      </w:pPr>
      <w:r w:rsidRPr="00C64151">
        <w:rPr>
          <w:b/>
          <w:bCs/>
          <w:szCs w:val="26"/>
        </w:rPr>
        <w:t>THỎA THUẬN KHUNG</w:t>
      </w:r>
    </w:p>
    <w:p w:rsidR="006F5F2F" w:rsidRPr="00C64151" w:rsidRDefault="006F5F2F" w:rsidP="006F5F2F">
      <w:pPr>
        <w:spacing w:line="24" w:lineRule="atLeast"/>
        <w:jc w:val="center"/>
        <w:rPr>
          <w:b/>
          <w:bCs/>
          <w:szCs w:val="26"/>
        </w:rPr>
      </w:pPr>
      <w:r w:rsidRPr="00C64151">
        <w:rPr>
          <w:b/>
          <w:bCs/>
          <w:szCs w:val="26"/>
        </w:rPr>
        <w:t>VỀ VIỆC THỰC HIỆN CUNG ỨNG THUỐC, HÓA CHẤT, VẬT TƯ TIÊU HAO, SINH PHẨM CHO CÁC ĐƠN VỊ TRỰC THUỘC NGÀNH Y TẾ  TỪ NĂM 2019 ĐẾN NĂM 2021</w:t>
      </w:r>
      <w:r>
        <w:rPr>
          <w:b/>
          <w:bCs/>
          <w:szCs w:val="26"/>
        </w:rPr>
        <w:t xml:space="preserve"> (bổ sung)</w:t>
      </w:r>
      <w:r w:rsidRPr="00C64151">
        <w:rPr>
          <w:b/>
          <w:bCs/>
          <w:szCs w:val="26"/>
        </w:rPr>
        <w:t>.</w:t>
      </w:r>
    </w:p>
    <w:p w:rsidR="006F5F2F" w:rsidRPr="00C64151" w:rsidRDefault="00883141" w:rsidP="007818B6">
      <w:pPr>
        <w:spacing w:before="120" w:after="120" w:line="24" w:lineRule="atLeast"/>
        <w:ind w:left="2103" w:firstLine="777"/>
        <w:jc w:val="both"/>
        <w:rPr>
          <w:b/>
          <w:szCs w:val="26"/>
        </w:rPr>
      </w:pPr>
      <w:r w:rsidRPr="00883141">
        <w:rPr>
          <w:b/>
          <w:bCs/>
          <w:noProof/>
          <w:szCs w:val="26"/>
        </w:rPr>
        <w:pict>
          <v:line id="Straight Connector 1" o:spid="_x0000_s1026" style="position:absolute;left:0;text-align:left;z-index:251660288;visibility:visible" from="190.5pt,3.95pt" to="271.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"/>
        </w:pict>
      </w:r>
      <w:r w:rsidR="007818B6">
        <w:rPr>
          <w:b/>
          <w:szCs w:val="26"/>
        </w:rPr>
        <w:t>Số:             /</w:t>
      </w:r>
    </w:p>
    <w:p w:rsidR="006F5F2F" w:rsidRPr="006F5F2F" w:rsidRDefault="006F5F2F" w:rsidP="006F5F2F">
      <w:pPr>
        <w:spacing w:before="120" w:after="120" w:line="235" w:lineRule="auto"/>
        <w:ind w:left="260" w:firstLine="720"/>
        <w:jc w:val="both"/>
        <w:rPr>
          <w:rFonts w:cs="Arial"/>
          <w:i/>
          <w:sz w:val="28"/>
        </w:rPr>
      </w:pPr>
      <w:r>
        <w:rPr>
          <w:rFonts w:cs="Arial"/>
          <w:i/>
          <w:sz w:val="28"/>
          <w:szCs w:val="20"/>
        </w:rPr>
        <w:t xml:space="preserve">- </w:t>
      </w:r>
      <w:r w:rsidRPr="006F5F2F">
        <w:rPr>
          <w:rFonts w:cs="Arial"/>
          <w:i/>
          <w:sz w:val="28"/>
        </w:rPr>
        <w:t>Căn cứ Luật Đấu thầu số 43/2013/QH13 ngày 26/11/2013 của Quốc hội Nước Cộng hoà xã hội chủ nghĩa Việt Nam;</w:t>
      </w:r>
    </w:p>
    <w:p w:rsidR="006F5F2F" w:rsidRPr="006F5F2F" w:rsidRDefault="006F5F2F" w:rsidP="006F5F2F">
      <w:pPr>
        <w:spacing w:before="120" w:after="120" w:line="16" w:lineRule="exact"/>
        <w:jc w:val="both"/>
        <w:rPr>
          <w:rFonts w:cs="Arial"/>
          <w:sz w:val="28"/>
        </w:rPr>
      </w:pPr>
    </w:p>
    <w:p w:rsidR="006F5F2F" w:rsidRPr="006F5F2F" w:rsidRDefault="006F5F2F" w:rsidP="006F5F2F">
      <w:pPr>
        <w:spacing w:before="120" w:after="120" w:line="234" w:lineRule="auto"/>
        <w:ind w:left="260" w:firstLine="720"/>
        <w:jc w:val="both"/>
        <w:rPr>
          <w:rFonts w:cs="Arial"/>
          <w:i/>
          <w:sz w:val="28"/>
        </w:rPr>
      </w:pPr>
      <w:r w:rsidRPr="006F5F2F">
        <w:rPr>
          <w:rFonts w:cs="Arial"/>
          <w:i/>
          <w:sz w:val="28"/>
        </w:rPr>
        <w:t>- Căn cứ Nghị định 63/2014/NĐ-CP ngày 26/6/2014 của Chính phủ Quy định chi tiết thi hành một số điều của Luật Đấu thầu về lựa chọn nhà thầu;</w:t>
      </w:r>
    </w:p>
    <w:p w:rsidR="006F5F2F" w:rsidRPr="006F5F2F" w:rsidRDefault="006F5F2F" w:rsidP="006F5F2F">
      <w:pPr>
        <w:spacing w:before="120" w:after="120" w:line="15" w:lineRule="exact"/>
        <w:jc w:val="both"/>
        <w:rPr>
          <w:rFonts w:cs="Arial"/>
          <w:sz w:val="28"/>
        </w:rPr>
      </w:pPr>
    </w:p>
    <w:p w:rsidR="006F5F2F" w:rsidRPr="006F5F2F" w:rsidRDefault="006F5F2F" w:rsidP="006F5F2F">
      <w:pPr>
        <w:spacing w:before="120" w:after="120" w:line="234" w:lineRule="auto"/>
        <w:ind w:left="260" w:firstLine="720"/>
        <w:jc w:val="both"/>
        <w:rPr>
          <w:rFonts w:cs="Arial"/>
          <w:i/>
          <w:sz w:val="28"/>
        </w:rPr>
      </w:pPr>
      <w:r w:rsidRPr="006F5F2F">
        <w:rPr>
          <w:rFonts w:cs="Arial"/>
          <w:i/>
          <w:sz w:val="28"/>
        </w:rPr>
        <w:t>- Căn cứ Thông tư số 35/2016/TT-BTC ngày 26/02/2016 của Bộ Tài chính hướng dẫn việc mua sắm tài sản nhà nước theo phương thức tập trung;</w:t>
      </w:r>
    </w:p>
    <w:p w:rsidR="006F5F2F" w:rsidRPr="006F5F2F" w:rsidRDefault="006F5F2F" w:rsidP="006F5F2F">
      <w:pPr>
        <w:spacing w:before="120" w:after="120" w:line="15" w:lineRule="exact"/>
        <w:jc w:val="both"/>
        <w:rPr>
          <w:rFonts w:cs="Arial"/>
          <w:sz w:val="28"/>
        </w:rPr>
      </w:pPr>
    </w:p>
    <w:p w:rsidR="006F5F2F" w:rsidRPr="006F5F2F" w:rsidRDefault="006F5F2F" w:rsidP="006F5F2F">
      <w:pPr>
        <w:spacing w:before="120" w:after="120" w:line="235" w:lineRule="auto"/>
        <w:ind w:left="260" w:firstLine="720"/>
        <w:jc w:val="both"/>
        <w:rPr>
          <w:rFonts w:cs="Arial"/>
          <w:i/>
          <w:sz w:val="28"/>
        </w:rPr>
      </w:pPr>
      <w:r w:rsidRPr="006F5F2F">
        <w:rPr>
          <w:rFonts w:cs="Arial"/>
          <w:i/>
          <w:sz w:val="28"/>
        </w:rPr>
        <w:t>- Căn cứ Thông tư số 15/2019/TT-BYT ngày 11/7/2019 của Bộ Y tế quy định việc đấu thầu thuốc tại các cơ sở y tế công lập;</w:t>
      </w:r>
    </w:p>
    <w:p w:rsidR="006F5F2F" w:rsidRPr="006F5F2F" w:rsidRDefault="006F5F2F" w:rsidP="006F5F2F">
      <w:pPr>
        <w:spacing w:before="120" w:after="120"/>
        <w:ind w:left="260" w:firstLine="720"/>
        <w:jc w:val="both"/>
        <w:rPr>
          <w:i/>
          <w:sz w:val="28"/>
          <w:lang w:val="nl-NL"/>
        </w:rPr>
      </w:pPr>
      <w:r w:rsidRPr="006F5F2F">
        <w:rPr>
          <w:rFonts w:cs="Arial"/>
          <w:i/>
          <w:sz w:val="28"/>
        </w:rPr>
        <w:t xml:space="preserve">- </w:t>
      </w:r>
      <w:r w:rsidRPr="006F5F2F">
        <w:rPr>
          <w:i/>
          <w:sz w:val="28"/>
          <w:lang w:val="nl-NL"/>
        </w:rPr>
        <w:t>Căn cứ Thông tư số 58/2016/TT-BTC  ngày 29/3/2016 của Bộ Tài chính Quy định chi tiết việc sử dụng vốn nhà nước để mua sắm nhằm duy trì hoạt động thường xuyên của cơ quan nhà nước, đơn vị thuộc lực lượng vũ trang nhân dân, đơn vị sự nghiệp công lập, tổ chức chính trị, tổ chức chính trị xã hội, tổ chức chính trị xã hội-nghề nghiệp, tổ chức xã hội, tổ chức xã hội-nghề nghiệp;</w:t>
      </w:r>
    </w:p>
    <w:p w:rsidR="006F5F2F" w:rsidRPr="00C96EEA" w:rsidRDefault="006F5F2F" w:rsidP="006F5F2F">
      <w:pPr>
        <w:spacing w:before="120" w:after="120"/>
        <w:ind w:left="260" w:firstLine="777"/>
        <w:jc w:val="both"/>
        <w:rPr>
          <w:i/>
          <w:color w:val="FF0000"/>
          <w:sz w:val="28"/>
        </w:rPr>
      </w:pPr>
      <w:r w:rsidRPr="00C96EEA">
        <w:rPr>
          <w:color w:val="FF0000"/>
          <w:sz w:val="28"/>
        </w:rPr>
        <w:t xml:space="preserve">- </w:t>
      </w:r>
      <w:r w:rsidRPr="009718BB">
        <w:rPr>
          <w:i/>
          <w:color w:val="FF0000"/>
          <w:sz w:val="28"/>
          <w:highlight w:val="yellow"/>
        </w:rPr>
        <w:t>Căn cứ các  Quyết định số</w:t>
      </w:r>
      <w:r w:rsidRPr="00C96EEA">
        <w:rPr>
          <w:i/>
          <w:color w:val="FF0000"/>
          <w:sz w:val="28"/>
        </w:rPr>
        <w:t>:            /QĐ- SYT ngày /    /2020 của Giám đốc Sở Y tế Khánh Hòa về việc phê duyệt kết quả lựa chọn nhà thầu thuộc Kế hoạch mua thuốc, hóa chất, vật tư tiêu hao và sinh phẩm cho các đơn vị trong ngành y tế từ năm 2019 đến năm 2021(bổ sung);</w:t>
      </w:r>
    </w:p>
    <w:p w:rsidR="006F5F2F" w:rsidRDefault="006F5F2F" w:rsidP="006F5F2F">
      <w:pPr>
        <w:ind w:left="-57" w:firstLine="561"/>
        <w:jc w:val="both"/>
        <w:rPr>
          <w:szCs w:val="26"/>
        </w:rPr>
      </w:pPr>
      <w:r w:rsidRPr="00C64151">
        <w:rPr>
          <w:szCs w:val="26"/>
        </w:rPr>
        <w:t xml:space="preserve">Hôm nay, </w:t>
      </w:r>
      <w:proofErr w:type="gramStart"/>
      <w:r w:rsidRPr="00C64151">
        <w:rPr>
          <w:szCs w:val="26"/>
        </w:rPr>
        <w:t>ngày  tháng</w:t>
      </w:r>
      <w:proofErr w:type="gramEnd"/>
      <w:r w:rsidRPr="00C64151">
        <w:rPr>
          <w:szCs w:val="26"/>
        </w:rPr>
        <w:t xml:space="preserve">  năm  20</w:t>
      </w:r>
      <w:r>
        <w:rPr>
          <w:szCs w:val="26"/>
        </w:rPr>
        <w:t>20</w:t>
      </w:r>
      <w:r w:rsidRPr="00C64151">
        <w:rPr>
          <w:szCs w:val="26"/>
        </w:rPr>
        <w:t xml:space="preserve">, hai bên gồm: </w:t>
      </w:r>
    </w:p>
    <w:p w:rsidR="006F5F2F" w:rsidRPr="006F5F2F" w:rsidRDefault="006F5F2F" w:rsidP="006F5F2F">
      <w:pPr>
        <w:ind w:left="-57" w:firstLine="561"/>
        <w:jc w:val="both"/>
        <w:rPr>
          <w:szCs w:val="26"/>
        </w:rPr>
      </w:pPr>
    </w:p>
    <w:p w:rsidR="006F5F2F" w:rsidRPr="00C64151" w:rsidRDefault="006F5F2F" w:rsidP="006F5F2F">
      <w:pPr>
        <w:jc w:val="both"/>
        <w:rPr>
          <w:b/>
          <w:szCs w:val="26"/>
        </w:rPr>
      </w:pPr>
      <w:r w:rsidRPr="00C64151">
        <w:rPr>
          <w:b/>
          <w:szCs w:val="26"/>
        </w:rPr>
        <w:t>BÊN MỜI THẦU:  SỞ Y TẾ KHÁNH HOÀ</w:t>
      </w:r>
    </w:p>
    <w:p w:rsidR="006F5F2F" w:rsidRPr="00C64151" w:rsidRDefault="006F5F2F" w:rsidP="006F5F2F">
      <w:pPr>
        <w:numPr>
          <w:ilvl w:val="0"/>
          <w:numId w:val="1"/>
        </w:numPr>
        <w:tabs>
          <w:tab w:val="left" w:pos="360"/>
          <w:tab w:val="left" w:pos="1620"/>
        </w:tabs>
        <w:jc w:val="both"/>
        <w:rPr>
          <w:szCs w:val="26"/>
        </w:rPr>
      </w:pPr>
      <w:r w:rsidRPr="00C64151">
        <w:rPr>
          <w:szCs w:val="26"/>
        </w:rPr>
        <w:t xml:space="preserve">Địa chỉ </w:t>
      </w:r>
      <w:r w:rsidRPr="00C64151">
        <w:rPr>
          <w:szCs w:val="26"/>
        </w:rPr>
        <w:tab/>
      </w:r>
      <w:r w:rsidRPr="00C64151">
        <w:rPr>
          <w:szCs w:val="26"/>
        </w:rPr>
        <w:tab/>
        <w:t>: Khu liên cơ 2- số 03A – Hàn Thuyên - Nha Trang – Khánh Hòa</w:t>
      </w:r>
    </w:p>
    <w:p w:rsidR="006F5F2F" w:rsidRPr="00C64151" w:rsidRDefault="006F5F2F" w:rsidP="006F5F2F">
      <w:pPr>
        <w:numPr>
          <w:ilvl w:val="0"/>
          <w:numId w:val="1"/>
        </w:numPr>
        <w:tabs>
          <w:tab w:val="left" w:pos="720"/>
          <w:tab w:val="left" w:pos="1620"/>
        </w:tabs>
        <w:jc w:val="both"/>
        <w:rPr>
          <w:szCs w:val="26"/>
        </w:rPr>
      </w:pPr>
      <w:r w:rsidRPr="00C64151">
        <w:rPr>
          <w:szCs w:val="26"/>
        </w:rPr>
        <w:t>Điện thoại</w:t>
      </w:r>
      <w:r w:rsidRPr="00C64151">
        <w:rPr>
          <w:szCs w:val="26"/>
        </w:rPr>
        <w:tab/>
      </w:r>
      <w:r w:rsidRPr="00C64151">
        <w:rPr>
          <w:szCs w:val="26"/>
        </w:rPr>
        <w:tab/>
        <w:t>: 058.817462 – 821978 – 817366   Fax: 058.827908 – 817462</w:t>
      </w:r>
    </w:p>
    <w:p w:rsidR="006F5F2F" w:rsidRPr="00C64151" w:rsidRDefault="006F5F2F" w:rsidP="006F5F2F">
      <w:pPr>
        <w:numPr>
          <w:ilvl w:val="0"/>
          <w:numId w:val="1"/>
        </w:numPr>
        <w:tabs>
          <w:tab w:val="left" w:pos="720"/>
          <w:tab w:val="left" w:pos="1620"/>
        </w:tabs>
        <w:jc w:val="both"/>
        <w:rPr>
          <w:szCs w:val="26"/>
        </w:rPr>
      </w:pPr>
      <w:r w:rsidRPr="00C64151">
        <w:rPr>
          <w:szCs w:val="26"/>
        </w:rPr>
        <w:t>Đại diện</w:t>
      </w:r>
      <w:r w:rsidRPr="00C64151">
        <w:rPr>
          <w:szCs w:val="26"/>
        </w:rPr>
        <w:tab/>
      </w:r>
      <w:r w:rsidRPr="00C64151">
        <w:rPr>
          <w:szCs w:val="26"/>
        </w:rPr>
        <w:tab/>
        <w:t xml:space="preserve">: </w:t>
      </w:r>
      <w:r w:rsidRPr="00C64151">
        <w:rPr>
          <w:b/>
          <w:szCs w:val="26"/>
        </w:rPr>
        <w:t xml:space="preserve">Ông Bùi Xuân Minh </w:t>
      </w:r>
      <w:r w:rsidRPr="00C64151">
        <w:rPr>
          <w:szCs w:val="26"/>
        </w:rPr>
        <w:tab/>
      </w:r>
      <w:r w:rsidRPr="00C64151">
        <w:rPr>
          <w:szCs w:val="26"/>
        </w:rPr>
        <w:tab/>
      </w:r>
    </w:p>
    <w:p w:rsidR="006F5F2F" w:rsidRPr="00C64151" w:rsidRDefault="006F5F2F" w:rsidP="006F5F2F">
      <w:pPr>
        <w:tabs>
          <w:tab w:val="left" w:pos="720"/>
          <w:tab w:val="left" w:pos="1620"/>
        </w:tabs>
        <w:jc w:val="both"/>
        <w:rPr>
          <w:szCs w:val="26"/>
        </w:rPr>
      </w:pPr>
      <w:r w:rsidRPr="00C64151">
        <w:rPr>
          <w:szCs w:val="26"/>
        </w:rPr>
        <w:t>-    Chức vụ</w:t>
      </w:r>
      <w:r w:rsidRPr="00C64151">
        <w:rPr>
          <w:szCs w:val="26"/>
        </w:rPr>
        <w:tab/>
      </w:r>
      <w:r w:rsidRPr="00C64151">
        <w:rPr>
          <w:szCs w:val="26"/>
        </w:rPr>
        <w:tab/>
        <w:t xml:space="preserve">: Giám đốc </w:t>
      </w:r>
    </w:p>
    <w:p w:rsidR="006F5F2F" w:rsidRPr="009A354D" w:rsidRDefault="006F5F2F" w:rsidP="006F5F2F">
      <w:pPr>
        <w:tabs>
          <w:tab w:val="left" w:pos="2160"/>
          <w:tab w:val="left" w:pos="2244"/>
        </w:tabs>
        <w:jc w:val="both"/>
        <w:rPr>
          <w:b/>
          <w:bCs/>
          <w:szCs w:val="26"/>
        </w:rPr>
      </w:pPr>
      <w:r w:rsidRPr="009A354D">
        <w:rPr>
          <w:b/>
          <w:bCs/>
          <w:szCs w:val="26"/>
        </w:rPr>
        <w:t xml:space="preserve">NHÀ THẦU: </w:t>
      </w:r>
    </w:p>
    <w:p w:rsidR="006F5F2F" w:rsidRPr="009A354D" w:rsidRDefault="006F5F2F" w:rsidP="006F5F2F">
      <w:pPr>
        <w:numPr>
          <w:ilvl w:val="0"/>
          <w:numId w:val="1"/>
        </w:numPr>
        <w:tabs>
          <w:tab w:val="left" w:pos="2160"/>
          <w:tab w:val="left" w:pos="2244"/>
        </w:tabs>
        <w:jc w:val="both"/>
        <w:rPr>
          <w:szCs w:val="26"/>
        </w:rPr>
      </w:pPr>
      <w:r w:rsidRPr="009A354D">
        <w:rPr>
          <w:szCs w:val="26"/>
        </w:rPr>
        <w:t>Địa chỉ</w:t>
      </w:r>
      <w:r w:rsidRPr="009A354D">
        <w:rPr>
          <w:szCs w:val="26"/>
        </w:rPr>
        <w:tab/>
      </w:r>
      <w:r w:rsidRPr="009A354D">
        <w:rPr>
          <w:szCs w:val="26"/>
        </w:rPr>
        <w:tab/>
        <w:t xml:space="preserve">: </w:t>
      </w:r>
    </w:p>
    <w:p w:rsidR="006F5F2F" w:rsidRPr="009A354D" w:rsidRDefault="006F5F2F" w:rsidP="006F5F2F">
      <w:pPr>
        <w:numPr>
          <w:ilvl w:val="0"/>
          <w:numId w:val="1"/>
        </w:numPr>
        <w:tabs>
          <w:tab w:val="left" w:pos="2160"/>
          <w:tab w:val="left" w:pos="2244"/>
        </w:tabs>
        <w:jc w:val="both"/>
        <w:rPr>
          <w:szCs w:val="26"/>
        </w:rPr>
      </w:pPr>
      <w:r w:rsidRPr="009A354D">
        <w:rPr>
          <w:szCs w:val="26"/>
        </w:rPr>
        <w:t xml:space="preserve">Điện thoại </w:t>
      </w:r>
      <w:r w:rsidRPr="009A354D">
        <w:rPr>
          <w:szCs w:val="26"/>
        </w:rPr>
        <w:tab/>
      </w:r>
      <w:r w:rsidRPr="009A354D">
        <w:rPr>
          <w:szCs w:val="26"/>
        </w:rPr>
        <w:tab/>
        <w:t xml:space="preserve">: </w:t>
      </w:r>
      <w:r w:rsidRPr="009A354D">
        <w:rPr>
          <w:szCs w:val="26"/>
        </w:rPr>
        <w:tab/>
      </w:r>
      <w:r w:rsidRPr="009A354D">
        <w:rPr>
          <w:szCs w:val="26"/>
        </w:rPr>
        <w:tab/>
      </w:r>
      <w:r w:rsidRPr="009A354D">
        <w:rPr>
          <w:szCs w:val="26"/>
        </w:rPr>
        <w:tab/>
      </w:r>
      <w:r w:rsidRPr="009A354D">
        <w:rPr>
          <w:szCs w:val="26"/>
        </w:rPr>
        <w:tab/>
        <w:t xml:space="preserve">Fax: </w:t>
      </w:r>
    </w:p>
    <w:p w:rsidR="006F5F2F" w:rsidRPr="009A354D" w:rsidRDefault="006F5F2F" w:rsidP="006F5F2F">
      <w:pPr>
        <w:numPr>
          <w:ilvl w:val="0"/>
          <w:numId w:val="1"/>
        </w:numPr>
        <w:jc w:val="both"/>
        <w:rPr>
          <w:szCs w:val="26"/>
        </w:rPr>
      </w:pPr>
      <w:r w:rsidRPr="009A354D">
        <w:rPr>
          <w:szCs w:val="26"/>
        </w:rPr>
        <w:lastRenderedPageBreak/>
        <w:t>Tài khoản VNĐ</w:t>
      </w:r>
      <w:r w:rsidRPr="009A354D">
        <w:rPr>
          <w:b/>
          <w:szCs w:val="26"/>
        </w:rPr>
        <w:t xml:space="preserve">  : </w:t>
      </w:r>
    </w:p>
    <w:p w:rsidR="006F5F2F" w:rsidRPr="009A354D" w:rsidRDefault="006F5F2F" w:rsidP="006F5F2F">
      <w:pPr>
        <w:numPr>
          <w:ilvl w:val="0"/>
          <w:numId w:val="1"/>
        </w:numPr>
        <w:jc w:val="both"/>
        <w:rPr>
          <w:szCs w:val="26"/>
        </w:rPr>
      </w:pPr>
      <w:r w:rsidRPr="009A354D">
        <w:rPr>
          <w:szCs w:val="26"/>
        </w:rPr>
        <w:t xml:space="preserve">Tại </w:t>
      </w:r>
      <w:r w:rsidRPr="009A354D">
        <w:rPr>
          <w:szCs w:val="26"/>
        </w:rPr>
        <w:tab/>
      </w:r>
      <w:r w:rsidRPr="009A354D">
        <w:rPr>
          <w:szCs w:val="26"/>
        </w:rPr>
        <w:tab/>
        <w:t xml:space="preserve">: </w:t>
      </w:r>
    </w:p>
    <w:p w:rsidR="006F5F2F" w:rsidRPr="009A354D" w:rsidRDefault="006F5F2F" w:rsidP="006F5F2F">
      <w:pPr>
        <w:numPr>
          <w:ilvl w:val="0"/>
          <w:numId w:val="1"/>
        </w:numPr>
        <w:jc w:val="both"/>
        <w:rPr>
          <w:szCs w:val="26"/>
        </w:rPr>
      </w:pPr>
      <w:r w:rsidRPr="009A354D">
        <w:rPr>
          <w:szCs w:val="26"/>
        </w:rPr>
        <w:t xml:space="preserve">Mã số thuế      </w:t>
      </w:r>
      <w:r w:rsidRPr="009A354D">
        <w:rPr>
          <w:szCs w:val="26"/>
        </w:rPr>
        <w:tab/>
        <w:t xml:space="preserve">: </w:t>
      </w:r>
    </w:p>
    <w:p w:rsidR="006F5F2F" w:rsidRPr="009A354D" w:rsidRDefault="006F5F2F" w:rsidP="006F5F2F">
      <w:pPr>
        <w:numPr>
          <w:ilvl w:val="0"/>
          <w:numId w:val="1"/>
        </w:numPr>
        <w:jc w:val="both"/>
        <w:rPr>
          <w:szCs w:val="26"/>
        </w:rPr>
      </w:pPr>
      <w:r w:rsidRPr="009A354D">
        <w:rPr>
          <w:szCs w:val="26"/>
        </w:rPr>
        <w:t>Người đại diện</w:t>
      </w:r>
      <w:r w:rsidRPr="009A354D">
        <w:rPr>
          <w:szCs w:val="26"/>
        </w:rPr>
        <w:tab/>
        <w:t xml:space="preserve">: </w:t>
      </w:r>
      <w:r w:rsidRPr="009A354D">
        <w:rPr>
          <w:szCs w:val="26"/>
        </w:rPr>
        <w:tab/>
      </w:r>
    </w:p>
    <w:p w:rsidR="006F5F2F" w:rsidRPr="009A354D" w:rsidRDefault="006F5F2F" w:rsidP="006F5F2F">
      <w:pPr>
        <w:numPr>
          <w:ilvl w:val="0"/>
          <w:numId w:val="1"/>
        </w:numPr>
        <w:tabs>
          <w:tab w:val="left" w:pos="360"/>
          <w:tab w:val="left" w:pos="1620"/>
        </w:tabs>
        <w:jc w:val="both"/>
        <w:rPr>
          <w:szCs w:val="26"/>
        </w:rPr>
      </w:pPr>
      <w:r w:rsidRPr="009A354D">
        <w:rPr>
          <w:szCs w:val="26"/>
        </w:rPr>
        <w:t>Chức vụ</w:t>
      </w:r>
      <w:r w:rsidRPr="009A354D">
        <w:rPr>
          <w:szCs w:val="26"/>
        </w:rPr>
        <w:tab/>
      </w:r>
      <w:r w:rsidRPr="009A354D">
        <w:rPr>
          <w:szCs w:val="26"/>
        </w:rPr>
        <w:tab/>
        <w:t>: Giám đốc</w:t>
      </w:r>
    </w:p>
    <w:p w:rsidR="006F5F2F" w:rsidRPr="00C64151" w:rsidRDefault="006F5F2F" w:rsidP="006F5F2F">
      <w:pPr>
        <w:jc w:val="both"/>
        <w:rPr>
          <w:szCs w:val="26"/>
        </w:rPr>
      </w:pPr>
      <w:r w:rsidRPr="00C64151">
        <w:rPr>
          <w:bCs/>
          <w:szCs w:val="26"/>
          <w:lang w:val="nl-NL"/>
        </w:rPr>
        <w:tab/>
      </w:r>
    </w:p>
    <w:p w:rsidR="006F5F2F" w:rsidRPr="00C64151" w:rsidRDefault="006F5F2F" w:rsidP="006F5F2F">
      <w:pPr>
        <w:ind w:firstLine="720"/>
        <w:jc w:val="both"/>
        <w:rPr>
          <w:szCs w:val="26"/>
        </w:rPr>
      </w:pPr>
      <w:r w:rsidRPr="00C64151">
        <w:rPr>
          <w:szCs w:val="26"/>
        </w:rPr>
        <w:t xml:space="preserve">Sau khi thảo luận, hai bên cùng </w:t>
      </w:r>
      <w:r w:rsidRPr="00C64151">
        <w:rPr>
          <w:bCs/>
          <w:szCs w:val="26"/>
        </w:rPr>
        <w:t xml:space="preserve">thỏa thuận việc </w:t>
      </w:r>
      <w:r w:rsidRPr="00C64151">
        <w:rPr>
          <w:szCs w:val="26"/>
        </w:rPr>
        <w:t xml:space="preserve">cung ứng thuốc, hóa chất, vật tư tiêu hao và sinh phẩm (sau đây gọi là hàng hóa) </w:t>
      </w:r>
      <w:proofErr w:type="gramStart"/>
      <w:r w:rsidRPr="00C64151">
        <w:rPr>
          <w:szCs w:val="26"/>
        </w:rPr>
        <w:t>theo</w:t>
      </w:r>
      <w:proofErr w:type="gramEnd"/>
      <w:r w:rsidRPr="00C64151">
        <w:rPr>
          <w:szCs w:val="26"/>
        </w:rPr>
        <w:t xml:space="preserve"> kết quả trúng thầu</w:t>
      </w:r>
      <w:r w:rsidRPr="00C64151">
        <w:rPr>
          <w:bCs/>
          <w:szCs w:val="26"/>
        </w:rPr>
        <w:t xml:space="preserve"> với những nội dung</w:t>
      </w:r>
      <w:r w:rsidRPr="00C64151">
        <w:rPr>
          <w:szCs w:val="26"/>
        </w:rPr>
        <w:t xml:space="preserve"> như sau:</w:t>
      </w:r>
    </w:p>
    <w:p w:rsidR="006F5F2F" w:rsidRPr="00C64151" w:rsidRDefault="006F5F2F" w:rsidP="006F5F2F">
      <w:pPr>
        <w:ind w:firstLine="720"/>
        <w:jc w:val="both"/>
        <w:rPr>
          <w:b/>
          <w:szCs w:val="26"/>
        </w:rPr>
      </w:pPr>
      <w:proofErr w:type="gramStart"/>
      <w:r w:rsidRPr="00C64151">
        <w:rPr>
          <w:b/>
          <w:szCs w:val="26"/>
        </w:rPr>
        <w:t>Điều 1.</w:t>
      </w:r>
      <w:proofErr w:type="gramEnd"/>
      <w:r w:rsidRPr="00C64151">
        <w:rPr>
          <w:b/>
          <w:szCs w:val="26"/>
        </w:rPr>
        <w:t xml:space="preserve"> Điều kiện </w:t>
      </w:r>
      <w:proofErr w:type="gramStart"/>
      <w:r w:rsidRPr="00C64151">
        <w:rPr>
          <w:b/>
          <w:szCs w:val="26"/>
        </w:rPr>
        <w:t>chung</w:t>
      </w:r>
      <w:proofErr w:type="gramEnd"/>
    </w:p>
    <w:p w:rsidR="006F5F2F" w:rsidRPr="00C64151" w:rsidRDefault="006F5F2F" w:rsidP="006F5F2F">
      <w:pPr>
        <w:tabs>
          <w:tab w:val="left" w:pos="360"/>
          <w:tab w:val="left" w:pos="720"/>
          <w:tab w:val="left" w:pos="1870"/>
        </w:tabs>
        <w:jc w:val="both"/>
        <w:rPr>
          <w:b/>
          <w:szCs w:val="26"/>
        </w:rPr>
      </w:pPr>
      <w:r w:rsidRPr="00C64151">
        <w:rPr>
          <w:szCs w:val="26"/>
        </w:rPr>
        <w:tab/>
      </w:r>
      <w:r w:rsidRPr="00C64151">
        <w:rPr>
          <w:szCs w:val="26"/>
        </w:rPr>
        <w:tab/>
      </w:r>
      <w:proofErr w:type="gramStart"/>
      <w:r w:rsidRPr="00C64151">
        <w:rPr>
          <w:b/>
          <w:szCs w:val="26"/>
        </w:rPr>
        <w:t>1. Phạm vi cung cấp hàng hóa</w:t>
      </w:r>
      <w:proofErr w:type="gramEnd"/>
      <w:r w:rsidRPr="00C64151">
        <w:rPr>
          <w:b/>
          <w:szCs w:val="26"/>
        </w:rPr>
        <w:t>, số lượng hàng hóa</w:t>
      </w:r>
    </w:p>
    <w:p w:rsidR="006F5F2F" w:rsidRPr="00C64151" w:rsidRDefault="006F5F2F" w:rsidP="006F5F2F">
      <w:pPr>
        <w:tabs>
          <w:tab w:val="left" w:pos="360"/>
        </w:tabs>
        <w:jc w:val="both"/>
        <w:rPr>
          <w:szCs w:val="26"/>
        </w:rPr>
      </w:pPr>
      <w:r w:rsidRPr="00C64151">
        <w:rPr>
          <w:szCs w:val="26"/>
        </w:rPr>
        <w:tab/>
      </w:r>
      <w:r w:rsidRPr="00C64151">
        <w:rPr>
          <w:szCs w:val="26"/>
        </w:rPr>
        <w:tab/>
        <w:t xml:space="preserve">a) Nhà thầu cung ứng hàng hóa </w:t>
      </w:r>
      <w:proofErr w:type="gramStart"/>
      <w:r w:rsidRPr="00C64151">
        <w:rPr>
          <w:szCs w:val="26"/>
        </w:rPr>
        <w:t>theo</w:t>
      </w:r>
      <w:proofErr w:type="gramEnd"/>
      <w:r w:rsidRPr="00C64151">
        <w:rPr>
          <w:szCs w:val="26"/>
        </w:rPr>
        <w:t xml:space="preserve"> kết quả trúng thầu cho các đơn vị trực thuộc Sở Y tế Khánh Hòa (sau đây gọi là đơn vị sử dụng). Việc cung ứng hàng hóa phải trên cơ sở hợp đồng được ký kết với từng đơn vị sử dụng và phải đúng với những mặt hàng và số lượng của mỗi mặt hàng mà từng đơn vị sử dụng đăng ký đã trúng thầu nêu tại danh mục công bố kết quả thầu của Bên mời thầu.</w:t>
      </w:r>
    </w:p>
    <w:p w:rsidR="006F5F2F" w:rsidRPr="00C64151" w:rsidRDefault="006F5F2F" w:rsidP="006F5F2F">
      <w:pPr>
        <w:tabs>
          <w:tab w:val="left" w:pos="360"/>
        </w:tabs>
        <w:jc w:val="both"/>
        <w:rPr>
          <w:szCs w:val="26"/>
        </w:rPr>
      </w:pPr>
      <w:r w:rsidRPr="00C64151">
        <w:rPr>
          <w:szCs w:val="26"/>
        </w:rPr>
        <w:tab/>
      </w:r>
      <w:r w:rsidRPr="00C64151">
        <w:rPr>
          <w:szCs w:val="26"/>
        </w:rPr>
        <w:tab/>
        <w:t xml:space="preserve">b) Nếu đơn vị sử dụng không mua đúng số lượng và danh mục hàng hóa </w:t>
      </w:r>
      <w:proofErr w:type="gramStart"/>
      <w:r w:rsidRPr="00C64151">
        <w:rPr>
          <w:szCs w:val="26"/>
        </w:rPr>
        <w:t>theo</w:t>
      </w:r>
      <w:proofErr w:type="gramEnd"/>
      <w:r w:rsidRPr="00C64151">
        <w:rPr>
          <w:szCs w:val="26"/>
        </w:rPr>
        <w:t xml:space="preserve"> hợp đồng đã ký, Nhà thầu thông báo bằng văn bản để Bên mời thầu đôn đốc các đơn vị sử dụng.</w:t>
      </w:r>
      <w:r w:rsidRPr="00C64151">
        <w:rPr>
          <w:szCs w:val="26"/>
        </w:rPr>
        <w:tab/>
      </w:r>
      <w:r w:rsidRPr="00C64151">
        <w:rPr>
          <w:szCs w:val="26"/>
        </w:rPr>
        <w:tab/>
      </w:r>
    </w:p>
    <w:p w:rsidR="006F5F2F" w:rsidRPr="00C64151" w:rsidRDefault="006F5F2F" w:rsidP="006F5F2F">
      <w:pPr>
        <w:numPr>
          <w:ilvl w:val="0"/>
          <w:numId w:val="2"/>
        </w:numPr>
        <w:tabs>
          <w:tab w:val="left" w:pos="360"/>
        </w:tabs>
        <w:autoSpaceDE w:val="0"/>
        <w:autoSpaceDN w:val="0"/>
        <w:adjustRightInd w:val="0"/>
        <w:jc w:val="both"/>
        <w:rPr>
          <w:b/>
          <w:szCs w:val="26"/>
        </w:rPr>
      </w:pPr>
      <w:r w:rsidRPr="00C64151">
        <w:rPr>
          <w:b/>
          <w:szCs w:val="26"/>
        </w:rPr>
        <w:t>Về chất lượng hàng hóa</w:t>
      </w:r>
    </w:p>
    <w:p w:rsidR="006F5F2F" w:rsidRPr="00C64151" w:rsidRDefault="006F5F2F" w:rsidP="006F5F2F">
      <w:pPr>
        <w:tabs>
          <w:tab w:val="left" w:pos="360"/>
        </w:tabs>
        <w:jc w:val="both"/>
        <w:rPr>
          <w:szCs w:val="26"/>
          <w:lang w:val="pt-BR"/>
        </w:rPr>
      </w:pPr>
      <w:r w:rsidRPr="00C64151">
        <w:rPr>
          <w:szCs w:val="26"/>
        </w:rPr>
        <w:tab/>
      </w:r>
      <w:r w:rsidRPr="00C64151">
        <w:rPr>
          <w:szCs w:val="26"/>
        </w:rPr>
        <w:tab/>
      </w:r>
      <w:r w:rsidRPr="00C64151">
        <w:rPr>
          <w:szCs w:val="26"/>
          <w:lang w:val="pt-BR"/>
        </w:rPr>
        <w:t>a) Nhà thầu đảm bảo cung ứng hàng hóa đúng chất lượng theo yêu cầu nêu trong hồ sơ dự thầu của nhà thầu và hợp đồng đã ký với các đơn vị sử dụng.</w:t>
      </w:r>
    </w:p>
    <w:p w:rsidR="006F5F2F" w:rsidRPr="00C64151" w:rsidRDefault="006F5F2F" w:rsidP="006F5F2F">
      <w:pPr>
        <w:ind w:firstLine="720"/>
        <w:jc w:val="both"/>
        <w:rPr>
          <w:szCs w:val="26"/>
          <w:lang w:val="pt-BR"/>
        </w:rPr>
      </w:pPr>
      <w:r w:rsidRPr="00C64151">
        <w:rPr>
          <w:szCs w:val="26"/>
          <w:lang w:val="pt-BR"/>
        </w:rPr>
        <w:t>b) Nếu Nhà thầu cung ứng hàng hóa không đúng nhãn mác, không đúng yêu cầu kỹ thuật…đơn vị sử dụng có quyền từ chối tiếp nhận và phải lập biên bản ghi nhận sự việc, biên bản phải có chữ ký xác nhận của người giao hàng. Đơn vị sử dụng thông báo bằng văn bản đến Nhà thầu, Nhà thầu phải có trách nhiệm phối hợp với đơn vị sử dụng giải quyết theo trình tự quy định tại khoản 2 Điều 2 của Thỏa thuận này.</w:t>
      </w:r>
    </w:p>
    <w:p w:rsidR="006F5F2F" w:rsidRPr="00C64151" w:rsidRDefault="006F5F2F" w:rsidP="006F5F2F">
      <w:pPr>
        <w:ind w:firstLine="720"/>
        <w:jc w:val="both"/>
        <w:rPr>
          <w:szCs w:val="26"/>
          <w:lang w:val="pt-BR"/>
        </w:rPr>
      </w:pPr>
      <w:r w:rsidRPr="00C64151">
        <w:rPr>
          <w:szCs w:val="26"/>
          <w:lang w:val="pt-BR"/>
        </w:rPr>
        <w:t>Đối với những mặt hàng chưa có sự thống nhất giải quyết giữa đơn vị sử dụng và Nhà thầu, tùy theo tính chất sai lệch về chất lượng và tính phù hợp của hàng hóa trúng thầu với yêu cầu chuyên môn, Bên mời thầu có thể cho phép tiếp tục nhập hàng hoặc yêu cầu Nhà thầu thay thế bằng hàng hóa khác đáp ứng đúng các yêu cầu về đặc tính kỹ thuật của hàng hóa đã trúng thầu. Trong trường hợp Nhà thầu không có khả năng thay thế hay điều chỉnh các hàng hóa không phù hợp, Bên mời thầu có quyền điều chỉnh, cho phép Nhà thầu có giá thấp kế tiếp, đáp ứng đủ điều kiện của hồ sơ mời thầu trúng thầu hàng hóa đó nếu thấy cần thiết; mọi rủi ro, chi phí liên quan hoặc chênh lệch giá do Nhà thầu trúng thầu trước chịu; chi phí này sẽ được Bên mời thầu trừ vào tiền bảo lãnh thực hiện hợp đồng hoặc trừ vào giá trị hợp đồng đã thực hiện.</w:t>
      </w:r>
    </w:p>
    <w:p w:rsidR="006F5F2F" w:rsidRPr="00C64151" w:rsidRDefault="006F5F2F" w:rsidP="006F5F2F">
      <w:pPr>
        <w:numPr>
          <w:ilvl w:val="0"/>
          <w:numId w:val="2"/>
        </w:numPr>
        <w:tabs>
          <w:tab w:val="left" w:pos="360"/>
        </w:tabs>
        <w:autoSpaceDE w:val="0"/>
        <w:autoSpaceDN w:val="0"/>
        <w:adjustRightInd w:val="0"/>
        <w:jc w:val="both"/>
        <w:rPr>
          <w:b/>
          <w:szCs w:val="26"/>
          <w:lang w:val="pt-BR"/>
        </w:rPr>
      </w:pPr>
      <w:r w:rsidRPr="00C64151">
        <w:rPr>
          <w:b/>
          <w:szCs w:val="26"/>
          <w:lang w:val="pt-BR"/>
        </w:rPr>
        <w:t xml:space="preserve">Về giá  </w:t>
      </w:r>
    </w:p>
    <w:p w:rsidR="006F5F2F" w:rsidRPr="00C64151" w:rsidRDefault="006F5F2F" w:rsidP="006F5F2F">
      <w:pPr>
        <w:tabs>
          <w:tab w:val="left" w:pos="360"/>
        </w:tabs>
        <w:jc w:val="both"/>
        <w:rPr>
          <w:szCs w:val="26"/>
          <w:lang w:val="pt-BR"/>
        </w:rPr>
      </w:pPr>
      <w:r w:rsidRPr="00C64151">
        <w:rPr>
          <w:szCs w:val="26"/>
          <w:lang w:val="pt-BR"/>
        </w:rPr>
        <w:tab/>
      </w:r>
      <w:r w:rsidRPr="00C64151">
        <w:rPr>
          <w:szCs w:val="26"/>
          <w:lang w:val="pt-BR"/>
        </w:rPr>
        <w:tab/>
        <w:t>Nhà thầu đảm bảo cung ứng hàng hóa không được vượt quá giá trúng thầu trong suốt thời gian thực hiện hợp đồng ký kết với các đơn vị sử dụng.</w:t>
      </w:r>
    </w:p>
    <w:p w:rsidR="006F5F2F" w:rsidRPr="00C64151" w:rsidRDefault="006F5F2F" w:rsidP="006F5F2F">
      <w:pPr>
        <w:tabs>
          <w:tab w:val="left" w:pos="360"/>
        </w:tabs>
        <w:jc w:val="both"/>
        <w:rPr>
          <w:b/>
          <w:szCs w:val="26"/>
          <w:lang w:val="pt-BR"/>
        </w:rPr>
      </w:pPr>
      <w:r w:rsidRPr="00C64151">
        <w:rPr>
          <w:szCs w:val="26"/>
          <w:lang w:val="pt-BR"/>
        </w:rPr>
        <w:tab/>
      </w:r>
      <w:r w:rsidRPr="00C64151">
        <w:rPr>
          <w:szCs w:val="26"/>
          <w:lang w:val="pt-BR"/>
        </w:rPr>
        <w:tab/>
      </w:r>
      <w:r w:rsidRPr="00C64151">
        <w:rPr>
          <w:b/>
          <w:szCs w:val="26"/>
          <w:lang w:val="pt-BR"/>
        </w:rPr>
        <w:t>4. Về số đăng ký lưu hành</w:t>
      </w:r>
    </w:p>
    <w:p w:rsidR="006F5F2F" w:rsidRPr="00C64151" w:rsidRDefault="006F5F2F" w:rsidP="006F5F2F">
      <w:pPr>
        <w:tabs>
          <w:tab w:val="left" w:pos="360"/>
        </w:tabs>
        <w:jc w:val="both"/>
        <w:rPr>
          <w:szCs w:val="26"/>
          <w:lang w:val="pt-BR"/>
        </w:rPr>
      </w:pPr>
      <w:r w:rsidRPr="00C64151">
        <w:rPr>
          <w:szCs w:val="26"/>
          <w:lang w:val="pt-BR"/>
        </w:rPr>
        <w:tab/>
      </w:r>
      <w:r w:rsidRPr="00C64151">
        <w:rPr>
          <w:szCs w:val="26"/>
          <w:lang w:val="pt-BR"/>
        </w:rPr>
        <w:tab/>
        <w:t xml:space="preserve">Nhà thầu được phép cung ứng hàng hóa có số đăng ký lưu hành khác (có thể số cũ hoặc số mới) so với số đăng ký lưu hành của cùng mặt hàng trúng thầu. Tuy nhiên, Nhà </w:t>
      </w:r>
      <w:r w:rsidRPr="00C64151">
        <w:rPr>
          <w:szCs w:val="26"/>
          <w:lang w:val="pt-BR"/>
        </w:rPr>
        <w:lastRenderedPageBreak/>
        <w:t>thầu phải có trách nhiệm cung cấp các tài liệu có liên quan đến số đăng ký khi có yêu cầu từ phía đơn vị sử dụng và phải bảo đảm tại thời điểm sản xuất lô hàng hóa đó thì chứng nhận hoặc giấy phép cấp số đăng ký còn hiệu lực, đồng thời phải bảo đảm cung ứng tên hàng hóa, hạn sử dụng và các yêu cầu khác như quy định trong thông báo kết quả trúng thầu của Bên mời thầu.</w:t>
      </w:r>
    </w:p>
    <w:p w:rsidR="006F5F2F" w:rsidRPr="00C64151" w:rsidRDefault="006F5F2F" w:rsidP="006F5F2F">
      <w:pPr>
        <w:numPr>
          <w:ilvl w:val="0"/>
          <w:numId w:val="2"/>
        </w:numPr>
        <w:tabs>
          <w:tab w:val="left" w:pos="360"/>
        </w:tabs>
        <w:autoSpaceDE w:val="0"/>
        <w:autoSpaceDN w:val="0"/>
        <w:adjustRightInd w:val="0"/>
        <w:jc w:val="both"/>
        <w:rPr>
          <w:b/>
          <w:szCs w:val="26"/>
          <w:lang w:val="pt-BR"/>
        </w:rPr>
      </w:pPr>
      <w:r w:rsidRPr="00C64151">
        <w:rPr>
          <w:b/>
          <w:szCs w:val="26"/>
          <w:lang w:val="pt-BR"/>
        </w:rPr>
        <w:t xml:space="preserve">Về điều kiện bàn giao hàng hóa </w:t>
      </w:r>
    </w:p>
    <w:p w:rsidR="006F5F2F" w:rsidRPr="00C64151" w:rsidRDefault="006F5F2F" w:rsidP="006F5F2F">
      <w:pPr>
        <w:tabs>
          <w:tab w:val="left" w:pos="360"/>
        </w:tabs>
        <w:jc w:val="both"/>
        <w:rPr>
          <w:b/>
          <w:szCs w:val="26"/>
          <w:lang w:val="pt-BR"/>
        </w:rPr>
      </w:pPr>
      <w:r w:rsidRPr="00C64151">
        <w:rPr>
          <w:b/>
          <w:szCs w:val="26"/>
          <w:lang w:val="pt-BR"/>
        </w:rPr>
        <w:tab/>
      </w:r>
      <w:r w:rsidRPr="00C64151">
        <w:rPr>
          <w:b/>
          <w:szCs w:val="26"/>
          <w:lang w:val="pt-BR"/>
        </w:rPr>
        <w:tab/>
        <w:t xml:space="preserve">a) Thời gian và tiến độ giao hàng </w:t>
      </w:r>
    </w:p>
    <w:p w:rsidR="006F5F2F" w:rsidRPr="00C64151" w:rsidRDefault="006F5F2F" w:rsidP="006F5F2F">
      <w:pPr>
        <w:tabs>
          <w:tab w:val="left" w:pos="360"/>
        </w:tabs>
        <w:jc w:val="both"/>
        <w:rPr>
          <w:szCs w:val="26"/>
          <w:lang w:val="pt-BR"/>
        </w:rPr>
      </w:pPr>
      <w:r w:rsidRPr="00C64151">
        <w:rPr>
          <w:szCs w:val="26"/>
          <w:lang w:val="pt-BR"/>
        </w:rPr>
        <w:tab/>
      </w:r>
      <w:r w:rsidRPr="00C64151">
        <w:rPr>
          <w:szCs w:val="26"/>
          <w:lang w:val="pt-BR"/>
        </w:rPr>
        <w:tab/>
        <w:t>Thời gian và tiến độ giao hàng</w:t>
      </w:r>
      <w:r w:rsidR="009718BB">
        <w:rPr>
          <w:szCs w:val="26"/>
          <w:lang w:val="pt-BR"/>
        </w:rPr>
        <w:t xml:space="preserve"> </w:t>
      </w:r>
      <w:r w:rsidRPr="00C64151">
        <w:rPr>
          <w:szCs w:val="26"/>
          <w:lang w:val="pt-BR"/>
        </w:rPr>
        <w:t xml:space="preserve">do Nhà thầu và đơn vị sử dụng thỏa thuận. Nội dung thỏa thuận phải được ghi vào hợp đồng mua bán ký kết giữa Nhà thầu và đơn vị sử dụng. Và phải thực hiện đúng thỏa thuận. </w:t>
      </w:r>
    </w:p>
    <w:p w:rsidR="006F5F2F" w:rsidRPr="00C64151" w:rsidRDefault="006F5F2F" w:rsidP="006F5F2F">
      <w:pPr>
        <w:ind w:firstLine="720"/>
        <w:rPr>
          <w:szCs w:val="26"/>
          <w:lang w:val="pt-BR"/>
        </w:rPr>
      </w:pPr>
      <w:r w:rsidRPr="00C64151">
        <w:rPr>
          <w:b/>
          <w:szCs w:val="26"/>
          <w:lang w:val="pt-BR"/>
        </w:rPr>
        <w:t>b)Địa điểm giao hàng</w:t>
      </w:r>
    </w:p>
    <w:p w:rsidR="006F5F2F" w:rsidRPr="00C64151" w:rsidRDefault="006F5F2F" w:rsidP="006F5F2F">
      <w:pPr>
        <w:tabs>
          <w:tab w:val="left" w:pos="360"/>
        </w:tabs>
        <w:jc w:val="both"/>
        <w:rPr>
          <w:szCs w:val="26"/>
          <w:lang w:val="pt-BR"/>
        </w:rPr>
      </w:pPr>
      <w:r w:rsidRPr="00C64151">
        <w:rPr>
          <w:szCs w:val="26"/>
          <w:lang w:val="pt-BR"/>
        </w:rPr>
        <w:tab/>
      </w:r>
      <w:r w:rsidRPr="00C64151">
        <w:rPr>
          <w:szCs w:val="26"/>
          <w:lang w:val="pt-BR"/>
        </w:rPr>
        <w:tab/>
        <w:t>- Nhà thầu cử đại diện giao hàng trực tiếp cho người đại diện của đơn vị sử dụng tại cơ quan làm việc của đơn vị sử dụng.</w:t>
      </w:r>
    </w:p>
    <w:p w:rsidR="006F5F2F" w:rsidRPr="00C64151" w:rsidRDefault="006F5F2F" w:rsidP="006F5F2F">
      <w:pPr>
        <w:tabs>
          <w:tab w:val="left" w:pos="360"/>
        </w:tabs>
        <w:jc w:val="both"/>
        <w:rPr>
          <w:szCs w:val="26"/>
          <w:lang w:val="pt-BR"/>
        </w:rPr>
      </w:pPr>
      <w:r w:rsidRPr="00C64151">
        <w:rPr>
          <w:szCs w:val="26"/>
          <w:lang w:val="pt-BR"/>
        </w:rPr>
        <w:tab/>
      </w:r>
      <w:r w:rsidRPr="00C64151">
        <w:rPr>
          <w:szCs w:val="26"/>
          <w:lang w:val="pt-BR"/>
        </w:rPr>
        <w:tab/>
        <w:t xml:space="preserve">- Việc giao hàng phải lập thành biên bản giao nhận, có đầy đủ chữ ký của người giao và người nhận. </w:t>
      </w:r>
    </w:p>
    <w:p w:rsidR="006F5F2F" w:rsidRPr="00C64151" w:rsidRDefault="006F5F2F" w:rsidP="006F5F2F">
      <w:pPr>
        <w:tabs>
          <w:tab w:val="left" w:pos="360"/>
        </w:tabs>
        <w:jc w:val="both"/>
        <w:rPr>
          <w:b/>
          <w:szCs w:val="26"/>
          <w:lang w:val="pt-BR"/>
        </w:rPr>
      </w:pPr>
      <w:r w:rsidRPr="00C64151">
        <w:rPr>
          <w:szCs w:val="26"/>
          <w:lang w:val="pt-BR"/>
        </w:rPr>
        <w:tab/>
      </w:r>
      <w:r w:rsidRPr="00C64151">
        <w:rPr>
          <w:szCs w:val="26"/>
          <w:lang w:val="pt-BR"/>
        </w:rPr>
        <w:tab/>
      </w:r>
      <w:r w:rsidRPr="00C64151">
        <w:rPr>
          <w:b/>
          <w:szCs w:val="26"/>
          <w:lang w:val="pt-BR"/>
        </w:rPr>
        <w:t>5. Về điều kiện tạm ứng, thanh toán, ký kết hợp đồng, thanh lý hợp đồng</w:t>
      </w:r>
    </w:p>
    <w:p w:rsidR="006F5F2F" w:rsidRPr="00C64151" w:rsidRDefault="006F5F2F" w:rsidP="006F5F2F">
      <w:pPr>
        <w:tabs>
          <w:tab w:val="left" w:pos="360"/>
        </w:tabs>
        <w:ind w:left="720"/>
        <w:jc w:val="both"/>
        <w:rPr>
          <w:b/>
          <w:szCs w:val="26"/>
          <w:lang w:val="pt-BR"/>
        </w:rPr>
      </w:pPr>
      <w:r w:rsidRPr="00C64151">
        <w:rPr>
          <w:b/>
          <w:szCs w:val="26"/>
          <w:lang w:val="pt-BR"/>
        </w:rPr>
        <w:t>a) Về tạm ứng</w:t>
      </w:r>
    </w:p>
    <w:p w:rsidR="006F5F2F" w:rsidRPr="00C64151" w:rsidRDefault="006F5F2F" w:rsidP="006F5F2F">
      <w:pPr>
        <w:tabs>
          <w:tab w:val="left" w:pos="360"/>
        </w:tabs>
        <w:jc w:val="both"/>
        <w:rPr>
          <w:szCs w:val="26"/>
          <w:lang w:val="pt-BR"/>
        </w:rPr>
      </w:pPr>
      <w:r w:rsidRPr="00C64151">
        <w:rPr>
          <w:szCs w:val="26"/>
          <w:lang w:val="pt-BR"/>
        </w:rPr>
        <w:tab/>
      </w:r>
      <w:r w:rsidRPr="00C64151">
        <w:rPr>
          <w:szCs w:val="26"/>
          <w:lang w:val="pt-BR"/>
        </w:rPr>
        <w:tab/>
        <w:t xml:space="preserve">Việc tạm ứng được tiến hành theo thỏa thuận giữa Nhà thầu và đơn vị sử dụng nhưng chỉ được thực hiện sau khi đã ký kết hợp đồng và có bảo lãnh thực hiện hợp đồng hợp pháp theo quy định. </w:t>
      </w:r>
    </w:p>
    <w:p w:rsidR="006F5F2F" w:rsidRPr="00C64151" w:rsidRDefault="006F5F2F" w:rsidP="006F5F2F">
      <w:pPr>
        <w:tabs>
          <w:tab w:val="left" w:pos="360"/>
        </w:tabs>
        <w:ind w:left="720"/>
        <w:jc w:val="both"/>
        <w:rPr>
          <w:b/>
          <w:szCs w:val="26"/>
          <w:lang w:val="pt-BR"/>
        </w:rPr>
      </w:pPr>
      <w:r w:rsidRPr="00C64151">
        <w:rPr>
          <w:b/>
          <w:szCs w:val="26"/>
          <w:lang w:val="pt-BR"/>
        </w:rPr>
        <w:t>b) Thanh toán</w:t>
      </w:r>
    </w:p>
    <w:p w:rsidR="006F5F2F" w:rsidRPr="00C64151" w:rsidRDefault="006F5F2F" w:rsidP="006F5F2F">
      <w:pPr>
        <w:tabs>
          <w:tab w:val="left" w:pos="360"/>
        </w:tabs>
        <w:ind w:left="720"/>
        <w:jc w:val="both"/>
        <w:rPr>
          <w:szCs w:val="26"/>
          <w:lang w:val="pt-BR"/>
        </w:rPr>
      </w:pPr>
      <w:r w:rsidRPr="00C64151">
        <w:rPr>
          <w:szCs w:val="26"/>
          <w:lang w:val="pt-BR"/>
        </w:rPr>
        <w:t xml:space="preserve">- Đơn vị sử dụng thanh toán cho Nhà thầu sau khi nhận đủ hàng hóa. </w:t>
      </w:r>
    </w:p>
    <w:p w:rsidR="006F5F2F" w:rsidRPr="00C64151" w:rsidRDefault="006F5F2F" w:rsidP="006F5F2F">
      <w:pPr>
        <w:tabs>
          <w:tab w:val="left" w:pos="360"/>
        </w:tabs>
        <w:ind w:left="720"/>
        <w:jc w:val="both"/>
        <w:rPr>
          <w:b/>
          <w:szCs w:val="26"/>
          <w:lang w:val="pt-BR"/>
        </w:rPr>
      </w:pPr>
      <w:r w:rsidRPr="00C64151">
        <w:rPr>
          <w:szCs w:val="26"/>
          <w:lang w:val="pt-BR"/>
        </w:rPr>
        <w:t>- Việc thanh toán thực hiện theo phương thức</w:t>
      </w:r>
      <w:r w:rsidR="00EE011E">
        <w:rPr>
          <w:szCs w:val="26"/>
          <w:lang w:val="pt-BR"/>
        </w:rPr>
        <w:t xml:space="preserve"> </w:t>
      </w:r>
      <w:r w:rsidRPr="00C64151">
        <w:rPr>
          <w:szCs w:val="26"/>
          <w:lang w:val="pt-BR"/>
        </w:rPr>
        <w:t xml:space="preserve">chuyển khoản. </w:t>
      </w:r>
    </w:p>
    <w:p w:rsidR="006F5F2F" w:rsidRPr="00C64151" w:rsidRDefault="006F5F2F" w:rsidP="006F5F2F">
      <w:pPr>
        <w:tabs>
          <w:tab w:val="left" w:pos="360"/>
        </w:tabs>
        <w:jc w:val="both"/>
        <w:rPr>
          <w:szCs w:val="26"/>
          <w:lang w:val="pt-BR"/>
        </w:rPr>
      </w:pPr>
      <w:r w:rsidRPr="00C64151">
        <w:rPr>
          <w:szCs w:val="26"/>
          <w:lang w:val="pt-BR"/>
        </w:rPr>
        <w:tab/>
      </w:r>
      <w:r w:rsidRPr="00C64151">
        <w:rPr>
          <w:szCs w:val="26"/>
          <w:lang w:val="pt-BR"/>
        </w:rPr>
        <w:tab/>
        <w:t>- Thời điểm thanh toán theo thỏa thuận giữa Nhà thầu và đơn vị sử dụng.</w:t>
      </w:r>
    </w:p>
    <w:p w:rsidR="006F5F2F" w:rsidRPr="00C64151" w:rsidRDefault="006F5F2F" w:rsidP="006F5F2F">
      <w:pPr>
        <w:tabs>
          <w:tab w:val="left" w:pos="360"/>
        </w:tabs>
        <w:jc w:val="both"/>
        <w:rPr>
          <w:szCs w:val="26"/>
          <w:lang w:val="pt-BR"/>
        </w:rPr>
      </w:pPr>
      <w:r w:rsidRPr="00C64151">
        <w:rPr>
          <w:szCs w:val="26"/>
          <w:lang w:val="pt-BR"/>
        </w:rPr>
        <w:tab/>
      </w:r>
      <w:r w:rsidRPr="00C64151">
        <w:rPr>
          <w:szCs w:val="26"/>
          <w:lang w:val="pt-BR"/>
        </w:rPr>
        <w:tab/>
        <w:t xml:space="preserve">- Hàng tháng, Nhà thầu và đơn vị sử dụng phải tiến hành đối chiếu công nợ. Việc đối chiếu công nợ phải lập thành biên bản, có đầy đủ chữ ký của kế toán trưởng và người đúng đầu phía Nhà thầu và đơn vị sử dụng. Trong trường hợp số nợ của đơn vị quá lớn, thanh toán không đúng thời gian quy định thì Nhà thầu phải thông báo cho Bên mời thầu. </w:t>
      </w:r>
    </w:p>
    <w:p w:rsidR="006F5F2F" w:rsidRPr="00C64151" w:rsidRDefault="006F5F2F" w:rsidP="006F5F2F">
      <w:pPr>
        <w:tabs>
          <w:tab w:val="left" w:pos="360"/>
        </w:tabs>
        <w:jc w:val="both"/>
        <w:rPr>
          <w:szCs w:val="26"/>
          <w:lang w:val="pt-BR"/>
        </w:rPr>
      </w:pPr>
      <w:r w:rsidRPr="00C64151">
        <w:rPr>
          <w:szCs w:val="26"/>
          <w:lang w:val="pt-BR"/>
        </w:rPr>
        <w:tab/>
      </w:r>
      <w:r w:rsidRPr="00C64151">
        <w:rPr>
          <w:szCs w:val="26"/>
          <w:lang w:val="pt-BR"/>
        </w:rPr>
        <w:tab/>
        <w:t xml:space="preserve">Phương thức và thời điểm thanh toán phải được ghi vào hợp đồng mua bán ký kết giữa Nhà thầu và đơn vị sử dụng. </w:t>
      </w:r>
    </w:p>
    <w:p w:rsidR="006F5F2F" w:rsidRPr="00C64151" w:rsidRDefault="00EE011E" w:rsidP="006F5F2F">
      <w:pPr>
        <w:tabs>
          <w:tab w:val="left" w:pos="360"/>
        </w:tabs>
        <w:ind w:left="720"/>
        <w:jc w:val="both"/>
        <w:rPr>
          <w:b/>
          <w:szCs w:val="26"/>
          <w:lang w:val="pt-BR"/>
        </w:rPr>
      </w:pPr>
      <w:r>
        <w:rPr>
          <w:b/>
          <w:szCs w:val="26"/>
          <w:lang w:val="pt-BR"/>
        </w:rPr>
        <w:t>c</w:t>
      </w:r>
      <w:r w:rsidR="006F5F2F" w:rsidRPr="00C64151">
        <w:rPr>
          <w:b/>
          <w:szCs w:val="26"/>
          <w:lang w:val="pt-BR"/>
        </w:rPr>
        <w:t xml:space="preserve">) Thanh lý hợp đồng </w:t>
      </w:r>
    </w:p>
    <w:p w:rsidR="006F5F2F" w:rsidRPr="00C64151" w:rsidRDefault="006F5F2F" w:rsidP="006F5F2F">
      <w:pPr>
        <w:tabs>
          <w:tab w:val="left" w:pos="360"/>
        </w:tabs>
        <w:jc w:val="both"/>
        <w:rPr>
          <w:szCs w:val="26"/>
          <w:lang w:val="pt-BR"/>
        </w:rPr>
      </w:pPr>
      <w:r w:rsidRPr="00C64151">
        <w:rPr>
          <w:szCs w:val="26"/>
          <w:lang w:val="pt-BR"/>
        </w:rPr>
        <w:tab/>
      </w:r>
      <w:r w:rsidRPr="00C64151">
        <w:rPr>
          <w:szCs w:val="26"/>
          <w:lang w:val="pt-BR"/>
        </w:rPr>
        <w:tab/>
        <w:t>Chỉ được thanh lý hợp đồng khi Nhà thầu và đơn vị sử dụng thực hiện đầy đủ cam kết trong hợp đồng.</w:t>
      </w:r>
    </w:p>
    <w:p w:rsidR="006F5F2F" w:rsidRPr="00C64151" w:rsidRDefault="006F5F2F" w:rsidP="006F5F2F">
      <w:pPr>
        <w:tabs>
          <w:tab w:val="left" w:pos="360"/>
        </w:tabs>
        <w:jc w:val="both"/>
        <w:rPr>
          <w:b/>
          <w:szCs w:val="26"/>
          <w:lang w:val="pt-BR"/>
        </w:rPr>
      </w:pPr>
      <w:r w:rsidRPr="00C64151">
        <w:rPr>
          <w:szCs w:val="26"/>
          <w:lang w:val="pt-BR"/>
        </w:rPr>
        <w:tab/>
      </w:r>
      <w:r w:rsidRPr="00C64151">
        <w:rPr>
          <w:szCs w:val="26"/>
          <w:lang w:val="pt-BR"/>
        </w:rPr>
        <w:tab/>
      </w:r>
      <w:r w:rsidR="00EE011E" w:rsidRPr="00EE011E">
        <w:rPr>
          <w:b/>
          <w:szCs w:val="26"/>
          <w:lang w:val="pt-BR"/>
        </w:rPr>
        <w:t>d</w:t>
      </w:r>
      <w:r w:rsidRPr="00C64151">
        <w:rPr>
          <w:b/>
          <w:szCs w:val="26"/>
          <w:lang w:val="pt-BR"/>
        </w:rPr>
        <w:t>) Về thời gian thực hiện Hợp đồng.</w:t>
      </w:r>
    </w:p>
    <w:p w:rsidR="006F5F2F" w:rsidRPr="00C64151" w:rsidRDefault="006F5F2F" w:rsidP="006F5F2F">
      <w:pPr>
        <w:tabs>
          <w:tab w:val="left" w:pos="360"/>
        </w:tabs>
        <w:jc w:val="both"/>
        <w:rPr>
          <w:szCs w:val="26"/>
          <w:lang w:val="pt-BR"/>
        </w:rPr>
      </w:pPr>
      <w:r w:rsidRPr="00C64151">
        <w:rPr>
          <w:b/>
          <w:szCs w:val="26"/>
          <w:lang w:val="pt-BR"/>
        </w:rPr>
        <w:tab/>
      </w:r>
      <w:r w:rsidRPr="00C64151">
        <w:rPr>
          <w:b/>
          <w:szCs w:val="26"/>
          <w:lang w:val="pt-BR"/>
        </w:rPr>
        <w:tab/>
      </w:r>
      <w:r w:rsidR="005C5FA8" w:rsidRPr="005C5FA8">
        <w:rPr>
          <w:szCs w:val="26"/>
          <w:lang w:val="pt-BR"/>
        </w:rPr>
        <w:t>Thời gian thực hiện</w:t>
      </w:r>
      <w:r w:rsidR="005C5FA8">
        <w:rPr>
          <w:b/>
          <w:szCs w:val="26"/>
          <w:lang w:val="pt-BR"/>
        </w:rPr>
        <w:t xml:space="preserve"> </w:t>
      </w:r>
      <w:r w:rsidR="005C5FA8" w:rsidRPr="005C5FA8">
        <w:rPr>
          <w:szCs w:val="26"/>
          <w:lang w:val="pt-BR"/>
        </w:rPr>
        <w:t>H</w:t>
      </w:r>
      <w:r w:rsidRPr="00C64151">
        <w:rPr>
          <w:szCs w:val="26"/>
          <w:lang w:val="pt-BR"/>
        </w:rPr>
        <w:t xml:space="preserve">ợp đồng  </w:t>
      </w:r>
      <w:r w:rsidR="005C5FA8">
        <w:rPr>
          <w:szCs w:val="26"/>
          <w:lang w:val="pt-BR"/>
        </w:rPr>
        <w:t>365 ngày</w:t>
      </w:r>
      <w:r w:rsidRPr="00C64151">
        <w:rPr>
          <w:szCs w:val="26"/>
          <w:lang w:val="pt-BR"/>
        </w:rPr>
        <w:t>.</w:t>
      </w:r>
    </w:p>
    <w:p w:rsidR="006F5F2F" w:rsidRPr="00C64151" w:rsidRDefault="006F5F2F" w:rsidP="006F5F2F">
      <w:pPr>
        <w:tabs>
          <w:tab w:val="left" w:pos="360"/>
        </w:tabs>
        <w:jc w:val="both"/>
        <w:rPr>
          <w:b/>
          <w:szCs w:val="26"/>
          <w:lang w:val="pt-BR"/>
        </w:rPr>
      </w:pPr>
      <w:r w:rsidRPr="00C64151">
        <w:rPr>
          <w:szCs w:val="26"/>
          <w:lang w:val="pt-BR"/>
        </w:rPr>
        <w:tab/>
      </w:r>
      <w:r w:rsidRPr="00C64151">
        <w:rPr>
          <w:szCs w:val="26"/>
          <w:lang w:val="pt-BR"/>
        </w:rPr>
        <w:tab/>
      </w:r>
      <w:r w:rsidRPr="00C64151">
        <w:rPr>
          <w:b/>
          <w:szCs w:val="26"/>
          <w:lang w:val="pt-BR"/>
        </w:rPr>
        <w:t xml:space="preserve">Điều 2. Trách nhiệm của Nhà thầu </w:t>
      </w:r>
    </w:p>
    <w:p w:rsidR="006F5F2F" w:rsidRPr="00C64151" w:rsidRDefault="006F5F2F" w:rsidP="006F5F2F">
      <w:pPr>
        <w:tabs>
          <w:tab w:val="left" w:pos="360"/>
          <w:tab w:val="left" w:pos="720"/>
          <w:tab w:val="left" w:pos="1620"/>
        </w:tabs>
        <w:jc w:val="both"/>
        <w:rPr>
          <w:szCs w:val="26"/>
          <w:lang w:val="pt-BR"/>
        </w:rPr>
      </w:pPr>
      <w:r w:rsidRPr="00C64151">
        <w:rPr>
          <w:szCs w:val="26"/>
          <w:lang w:val="pt-BR"/>
        </w:rPr>
        <w:tab/>
      </w:r>
      <w:r w:rsidRPr="00C64151">
        <w:rPr>
          <w:szCs w:val="26"/>
          <w:lang w:val="pt-BR"/>
        </w:rPr>
        <w:tab/>
        <w:t>1. Thực hiện theo đúng quy định tại các Điều 1, 5, 6 và 7 của Thỏa thuận này.</w:t>
      </w:r>
    </w:p>
    <w:p w:rsidR="006F5F2F" w:rsidRDefault="006F5F2F" w:rsidP="006F5F2F">
      <w:pPr>
        <w:tabs>
          <w:tab w:val="left" w:pos="360"/>
          <w:tab w:val="left" w:pos="720"/>
        </w:tabs>
        <w:jc w:val="both"/>
        <w:rPr>
          <w:szCs w:val="26"/>
          <w:lang w:val="pt-BR"/>
        </w:rPr>
      </w:pPr>
      <w:r w:rsidRPr="00C64151">
        <w:rPr>
          <w:szCs w:val="26"/>
          <w:lang w:val="pt-BR"/>
        </w:rPr>
        <w:tab/>
      </w:r>
      <w:r w:rsidRPr="00C64151">
        <w:rPr>
          <w:szCs w:val="26"/>
          <w:lang w:val="pt-BR"/>
        </w:rPr>
        <w:tab/>
        <w:t xml:space="preserve">2. Khi có vấn đề phát sinh, trong vòng 7 ngày kể thời thời điểm nhận thông báo bằng văn bản của đơn vị sử dụng hoặc Bên mời thầu, Nhà thầu phải cử đại diện trực tiếp đến làm việc với đơn vị sử dụng hoặc Bên mời thầu để giải quyết. Trong trường hợp Nhà thầu không thể cử đại diện làm việc trực tiếp với đơn vị sử dụng thì phải có văn bản trả lời cho đơn vị sử dụng hoặc Bên mời thầu trong thời gian 7 ngày kể từ thời điểm nhận thông báo của đơn vị sử dụng hoặc Bên mời thầu, trong đó phải xác định rõ cách giải </w:t>
      </w:r>
      <w:r w:rsidRPr="00C64151">
        <w:rPr>
          <w:szCs w:val="26"/>
          <w:lang w:val="pt-BR"/>
        </w:rPr>
        <w:lastRenderedPageBreak/>
        <w:t>quyết và thời gian cam kết thực hiện nội dung giải quyết vấn đề phát sinh. Sau thời gian nêu trên, nếu Nhà thầu không đến làm việc hoặc không có văn bản trả lời thì đơn vị sử dụng hoặc Bên mời thầu sẽ đơn phương giải quyết và mọi thiệt hại phát sinh Nhà thầu phải chịu trách nhiệm.</w:t>
      </w:r>
    </w:p>
    <w:p w:rsidR="005D1F0D" w:rsidRDefault="005D1F0D" w:rsidP="006F5F2F">
      <w:pPr>
        <w:tabs>
          <w:tab w:val="left" w:pos="360"/>
          <w:tab w:val="left" w:pos="720"/>
        </w:tabs>
        <w:jc w:val="both"/>
        <w:rPr>
          <w:szCs w:val="26"/>
          <w:lang w:val="pt-BR"/>
        </w:rPr>
      </w:pPr>
      <w:r>
        <w:rPr>
          <w:szCs w:val="26"/>
          <w:lang w:val="pt-BR"/>
        </w:rPr>
        <w:tab/>
      </w:r>
      <w:r>
        <w:rPr>
          <w:szCs w:val="26"/>
          <w:lang w:val="pt-BR"/>
        </w:rPr>
        <w:tab/>
        <w:t>3. Ký hợp đồng với các cơ sở y tế theo danh mục và số lượng đã phân bổ cho các cơ sở y tế.</w:t>
      </w:r>
    </w:p>
    <w:p w:rsidR="005D1F0D" w:rsidRDefault="005D1F0D" w:rsidP="006F5F2F">
      <w:pPr>
        <w:tabs>
          <w:tab w:val="left" w:pos="360"/>
          <w:tab w:val="left" w:pos="720"/>
        </w:tabs>
        <w:jc w:val="both"/>
      </w:pPr>
      <w:r>
        <w:tab/>
      </w:r>
      <w:r>
        <w:tab/>
        <w:t xml:space="preserve">4. Cung ứng đầy đủ thuốc và đúng tiến độ </w:t>
      </w:r>
      <w:proofErr w:type="gramStart"/>
      <w:r>
        <w:t>theo</w:t>
      </w:r>
      <w:proofErr w:type="gramEnd"/>
      <w:r>
        <w:t xml:space="preserve"> đúng chủng loại, số lượng, đơn giá không vượt quá giá trúng thầu đã được phê duyệt. - Thực hiện đầy đủ các yêu cầu trong điều kiện </w:t>
      </w:r>
      <w:proofErr w:type="gramStart"/>
      <w:r>
        <w:t>chung</w:t>
      </w:r>
      <w:proofErr w:type="gramEnd"/>
      <w:r>
        <w:t xml:space="preserve"> nêu tại Chương V và điều kiện cụ thể nêu tại Chương VI và nội dung của Bản cam kết được nêu trong Hồ sơ yêu cầu (đính kèm các bản cam kết của nhà thầu); </w:t>
      </w:r>
    </w:p>
    <w:p w:rsidR="005D1F0D" w:rsidRPr="00C64151" w:rsidRDefault="005D1F0D" w:rsidP="006F5F2F">
      <w:pPr>
        <w:tabs>
          <w:tab w:val="left" w:pos="360"/>
          <w:tab w:val="left" w:pos="720"/>
        </w:tabs>
        <w:jc w:val="both"/>
        <w:rPr>
          <w:szCs w:val="26"/>
          <w:lang w:val="pt-BR"/>
        </w:rPr>
      </w:pPr>
      <w:r>
        <w:tab/>
      </w:r>
      <w:r>
        <w:tab/>
        <w:t xml:space="preserve">5. Thực hiện đầy đủ các nghĩa vụ và trách nhiệm được nêu trong điều kiện </w:t>
      </w:r>
      <w:proofErr w:type="gramStart"/>
      <w:r>
        <w:t>chung</w:t>
      </w:r>
      <w:proofErr w:type="gramEnd"/>
      <w:r>
        <w:t xml:space="preserve"> và điều kiện cụ thể của hợp đồng đã ký giữa Nhà thầu với các cơ sở y tế.</w:t>
      </w:r>
    </w:p>
    <w:p w:rsidR="006F5F2F" w:rsidRPr="00C64151" w:rsidRDefault="006F5F2F" w:rsidP="006F5F2F">
      <w:pPr>
        <w:ind w:firstLine="720"/>
        <w:rPr>
          <w:b/>
          <w:szCs w:val="26"/>
          <w:lang w:val="pt-BR"/>
        </w:rPr>
      </w:pPr>
      <w:r w:rsidRPr="00C64151">
        <w:rPr>
          <w:b/>
          <w:szCs w:val="26"/>
          <w:lang w:val="pt-BR"/>
        </w:rPr>
        <w:t xml:space="preserve">Điều 3. Trách nhiệm của </w:t>
      </w:r>
      <w:r w:rsidRPr="00C64151">
        <w:rPr>
          <w:b/>
          <w:szCs w:val="26"/>
          <w:shd w:val="clear" w:color="auto" w:fill="FFFFFF"/>
          <w:lang w:val="pt-BR"/>
        </w:rPr>
        <w:t>đơn vị</w:t>
      </w:r>
      <w:r w:rsidRPr="00C64151">
        <w:rPr>
          <w:b/>
          <w:szCs w:val="26"/>
          <w:lang w:val="pt-BR"/>
        </w:rPr>
        <w:t xml:space="preserve"> sử dụng</w:t>
      </w:r>
    </w:p>
    <w:p w:rsidR="006F5F2F" w:rsidRPr="00C64151" w:rsidRDefault="006F5F2F" w:rsidP="006F5F2F">
      <w:pPr>
        <w:tabs>
          <w:tab w:val="left" w:pos="360"/>
          <w:tab w:val="left" w:pos="720"/>
        </w:tabs>
        <w:jc w:val="both"/>
        <w:rPr>
          <w:szCs w:val="26"/>
          <w:lang w:val="pt-BR"/>
        </w:rPr>
      </w:pPr>
      <w:r w:rsidRPr="00C64151">
        <w:rPr>
          <w:szCs w:val="26"/>
          <w:lang w:val="pt-BR"/>
        </w:rPr>
        <w:tab/>
      </w:r>
      <w:r w:rsidRPr="00C64151">
        <w:rPr>
          <w:szCs w:val="26"/>
          <w:lang w:val="pt-BR"/>
        </w:rPr>
        <w:tab/>
        <w:t xml:space="preserve">1. Phối hợp tốt với Nhà thầu để triển khai thực hiện hợp đồng mua sắm hàng hóa theo thông báo kết quả thầu của Bên mời thầu. </w:t>
      </w:r>
    </w:p>
    <w:p w:rsidR="006F5F2F" w:rsidRPr="00C64151" w:rsidRDefault="006F5F2F" w:rsidP="006F5F2F">
      <w:pPr>
        <w:tabs>
          <w:tab w:val="left" w:pos="360"/>
          <w:tab w:val="left" w:pos="720"/>
        </w:tabs>
        <w:jc w:val="both"/>
        <w:rPr>
          <w:szCs w:val="26"/>
          <w:lang w:val="pt-BR"/>
        </w:rPr>
      </w:pPr>
      <w:r w:rsidRPr="00C64151">
        <w:rPr>
          <w:szCs w:val="26"/>
          <w:lang w:val="pt-BR"/>
        </w:rPr>
        <w:tab/>
      </w:r>
      <w:r w:rsidRPr="00C64151">
        <w:rPr>
          <w:szCs w:val="26"/>
          <w:lang w:val="pt-BR"/>
        </w:rPr>
        <w:tab/>
        <w:t>2. Chịu trách nhiệm triển khai thực hiện các quy định liên quan tại Thỏa thuận này.</w:t>
      </w:r>
    </w:p>
    <w:p w:rsidR="006F5F2F" w:rsidRPr="00C64151" w:rsidRDefault="006F5F2F" w:rsidP="006F5F2F">
      <w:pPr>
        <w:tabs>
          <w:tab w:val="left" w:pos="360"/>
          <w:tab w:val="left" w:pos="720"/>
        </w:tabs>
        <w:jc w:val="both"/>
        <w:rPr>
          <w:szCs w:val="26"/>
          <w:lang w:val="pt-BR"/>
        </w:rPr>
      </w:pPr>
      <w:r w:rsidRPr="00C64151">
        <w:rPr>
          <w:szCs w:val="26"/>
          <w:lang w:val="pt-BR"/>
        </w:rPr>
        <w:tab/>
      </w:r>
      <w:r w:rsidRPr="00C64151">
        <w:rPr>
          <w:szCs w:val="26"/>
          <w:lang w:val="pt-BR"/>
        </w:rPr>
        <w:tab/>
        <w:t>3. Thanh toán cho nhà thầu theo đúng cam kết nêu trong hợp đồng.</w:t>
      </w:r>
    </w:p>
    <w:p w:rsidR="006F5F2F" w:rsidRPr="00C64151" w:rsidRDefault="006F5F2F" w:rsidP="006F5F2F">
      <w:pPr>
        <w:tabs>
          <w:tab w:val="left" w:pos="360"/>
          <w:tab w:val="left" w:pos="720"/>
        </w:tabs>
        <w:jc w:val="both"/>
        <w:rPr>
          <w:szCs w:val="26"/>
          <w:lang w:val="pt-BR"/>
        </w:rPr>
      </w:pPr>
      <w:r w:rsidRPr="00C64151">
        <w:rPr>
          <w:szCs w:val="26"/>
          <w:lang w:val="pt-BR"/>
        </w:rPr>
        <w:tab/>
      </w:r>
      <w:r w:rsidRPr="00C64151">
        <w:rPr>
          <w:szCs w:val="26"/>
          <w:lang w:val="pt-BR"/>
        </w:rPr>
        <w:tab/>
        <w:t>4. Chủ động phối hợp với Nhà thầu giải quyết những vấn đề phát sinh trong quá trình thực hiện hợp đồng đã ký kết.</w:t>
      </w:r>
    </w:p>
    <w:p w:rsidR="006F5F2F" w:rsidRPr="00C64151" w:rsidRDefault="006F5F2F" w:rsidP="006F5F2F">
      <w:pPr>
        <w:tabs>
          <w:tab w:val="left" w:pos="360"/>
          <w:tab w:val="left" w:pos="720"/>
        </w:tabs>
        <w:jc w:val="both"/>
        <w:rPr>
          <w:b/>
          <w:szCs w:val="26"/>
          <w:lang w:val="pt-BR"/>
        </w:rPr>
      </w:pPr>
      <w:r w:rsidRPr="00C64151">
        <w:rPr>
          <w:szCs w:val="26"/>
          <w:lang w:val="pt-BR"/>
        </w:rPr>
        <w:tab/>
      </w:r>
      <w:r w:rsidRPr="00C64151">
        <w:rPr>
          <w:szCs w:val="26"/>
          <w:lang w:val="pt-BR"/>
        </w:rPr>
        <w:tab/>
      </w:r>
      <w:r w:rsidRPr="00C64151">
        <w:rPr>
          <w:b/>
          <w:szCs w:val="26"/>
          <w:lang w:val="pt-BR"/>
        </w:rPr>
        <w:t>Điều 4. Trách nhiệm của Bên mời thầu</w:t>
      </w:r>
    </w:p>
    <w:p w:rsidR="006F5F2F" w:rsidRPr="00C64151" w:rsidRDefault="006F5F2F" w:rsidP="006F5F2F">
      <w:pPr>
        <w:tabs>
          <w:tab w:val="left" w:pos="360"/>
        </w:tabs>
        <w:ind w:left="360"/>
        <w:jc w:val="both"/>
        <w:rPr>
          <w:szCs w:val="26"/>
          <w:lang w:val="pt-BR"/>
        </w:rPr>
      </w:pPr>
      <w:r w:rsidRPr="00C64151">
        <w:rPr>
          <w:szCs w:val="26"/>
          <w:lang w:val="pt-BR"/>
        </w:rPr>
        <w:tab/>
        <w:t>Chỉ đạo các đơn vị sử dụng thực hiện các nội dung sau:</w:t>
      </w:r>
    </w:p>
    <w:p w:rsidR="006F5F2F" w:rsidRPr="00C64151" w:rsidRDefault="006F5F2F" w:rsidP="006F5F2F">
      <w:pPr>
        <w:tabs>
          <w:tab w:val="left" w:pos="360"/>
        </w:tabs>
        <w:jc w:val="both"/>
        <w:rPr>
          <w:szCs w:val="26"/>
          <w:lang w:val="pt-BR"/>
        </w:rPr>
      </w:pPr>
      <w:r w:rsidRPr="00C64151">
        <w:rPr>
          <w:szCs w:val="26"/>
          <w:lang w:val="pt-BR"/>
        </w:rPr>
        <w:tab/>
      </w:r>
      <w:r w:rsidRPr="00C64151">
        <w:rPr>
          <w:szCs w:val="26"/>
          <w:lang w:val="pt-BR"/>
        </w:rPr>
        <w:tab/>
        <w:t xml:space="preserve">1. Thực hiện đúng các điều, khoản theo Thỏa thuận khung đã ký với Nhà thầu. </w:t>
      </w:r>
    </w:p>
    <w:p w:rsidR="006F5F2F" w:rsidRPr="00C64151" w:rsidRDefault="006F5F2F" w:rsidP="006F5F2F">
      <w:pPr>
        <w:tabs>
          <w:tab w:val="left" w:pos="360"/>
        </w:tabs>
        <w:jc w:val="both"/>
        <w:rPr>
          <w:szCs w:val="26"/>
          <w:lang w:val="pt-BR"/>
        </w:rPr>
      </w:pPr>
      <w:r w:rsidRPr="00C64151">
        <w:rPr>
          <w:szCs w:val="26"/>
          <w:lang w:val="pt-BR"/>
        </w:rPr>
        <w:tab/>
      </w:r>
      <w:r w:rsidRPr="00C64151">
        <w:rPr>
          <w:szCs w:val="26"/>
          <w:lang w:val="pt-BR"/>
        </w:rPr>
        <w:tab/>
        <w:t>2. Tạo điều kiện để Nhà thầu được thực hiện cung cấp hàng hóa theo hợp đồng đã ký với các đơn vị sử dụng.</w:t>
      </w:r>
    </w:p>
    <w:p w:rsidR="006F5F2F" w:rsidRPr="00C64151" w:rsidRDefault="006F5F2F" w:rsidP="006F5F2F">
      <w:pPr>
        <w:tabs>
          <w:tab w:val="left" w:pos="360"/>
        </w:tabs>
        <w:jc w:val="both"/>
        <w:rPr>
          <w:szCs w:val="26"/>
          <w:lang w:val="pt-BR"/>
        </w:rPr>
      </w:pPr>
      <w:r w:rsidRPr="00C64151">
        <w:rPr>
          <w:szCs w:val="26"/>
          <w:lang w:val="pt-BR"/>
        </w:rPr>
        <w:tab/>
      </w:r>
      <w:r w:rsidRPr="00C64151">
        <w:rPr>
          <w:szCs w:val="26"/>
          <w:lang w:val="pt-BR"/>
        </w:rPr>
        <w:tab/>
        <w:t>3. Phối hợp với Nhà thầu để giải quyết các vấn đề chưa thống nhất giữa Nhà thầu và đơn vị sử dụng.</w:t>
      </w:r>
    </w:p>
    <w:p w:rsidR="006F5F2F" w:rsidRDefault="006F5F2F" w:rsidP="006F5F2F">
      <w:pPr>
        <w:ind w:firstLine="720"/>
        <w:rPr>
          <w:b/>
          <w:szCs w:val="26"/>
          <w:lang w:val="pt-BR"/>
        </w:rPr>
      </w:pPr>
      <w:r w:rsidRPr="00C64151">
        <w:rPr>
          <w:b/>
          <w:szCs w:val="26"/>
          <w:lang w:val="pt-BR"/>
        </w:rPr>
        <w:t>Điều 5. Thời hạn có hiệu lực của thỏa thuận khung</w:t>
      </w:r>
    </w:p>
    <w:p w:rsidR="005D1F0D" w:rsidRPr="005D1F0D" w:rsidRDefault="005D1F0D" w:rsidP="006F5F2F">
      <w:pPr>
        <w:ind w:firstLine="720"/>
        <w:rPr>
          <w:szCs w:val="26"/>
          <w:lang w:val="pt-BR"/>
        </w:rPr>
      </w:pPr>
      <w:r w:rsidRPr="005D1F0D">
        <w:rPr>
          <w:szCs w:val="26"/>
          <w:lang w:val="pt-BR"/>
        </w:rPr>
        <w:t>Thỏa thuận khung này là cơ sở đề các cơ sở Y tế ký hợp đồng mua bán với nhà thầu trúng thầu</w:t>
      </w:r>
      <w:r>
        <w:rPr>
          <w:szCs w:val="26"/>
          <w:lang w:val="pt-BR"/>
        </w:rPr>
        <w:t>.</w:t>
      </w:r>
    </w:p>
    <w:p w:rsidR="006F5F2F" w:rsidRPr="00C64151" w:rsidRDefault="006F5F2F" w:rsidP="006F5F2F">
      <w:pPr>
        <w:ind w:firstLine="720"/>
        <w:rPr>
          <w:szCs w:val="26"/>
          <w:lang w:val="pt-BR"/>
        </w:rPr>
      </w:pPr>
      <w:r w:rsidRPr="00C64151">
        <w:rPr>
          <w:szCs w:val="26"/>
          <w:lang w:val="pt-BR"/>
        </w:rPr>
        <w:t>Thỏa thuận khung này có hiệu từ ngày ký cho đến khi hoàn tất thủ tục thanh lý các hợp đồng với các đơn vị sử dụng.</w:t>
      </w:r>
    </w:p>
    <w:p w:rsidR="006F5F2F" w:rsidRPr="00C64151" w:rsidRDefault="006F5F2F" w:rsidP="006F5F2F">
      <w:pPr>
        <w:ind w:firstLine="720"/>
        <w:rPr>
          <w:b/>
          <w:szCs w:val="26"/>
          <w:lang w:val="pt-BR"/>
        </w:rPr>
      </w:pPr>
      <w:r w:rsidRPr="00C64151">
        <w:rPr>
          <w:b/>
          <w:szCs w:val="26"/>
          <w:lang w:val="pt-BR"/>
        </w:rPr>
        <w:t>Điều 6. Xử phạt</w:t>
      </w:r>
    </w:p>
    <w:p w:rsidR="006F5F2F" w:rsidRPr="00C64151" w:rsidRDefault="006F5F2F" w:rsidP="006F5F2F">
      <w:pPr>
        <w:ind w:firstLine="720"/>
        <w:rPr>
          <w:b/>
          <w:szCs w:val="26"/>
          <w:lang w:val="pt-BR"/>
        </w:rPr>
      </w:pPr>
      <w:r w:rsidRPr="00C64151">
        <w:rPr>
          <w:b/>
          <w:szCs w:val="26"/>
          <w:lang w:val="pt-BR"/>
        </w:rPr>
        <w:t>1. Do vi phạm hợp đồng</w:t>
      </w:r>
    </w:p>
    <w:p w:rsidR="006F5F2F" w:rsidRPr="00C64151" w:rsidRDefault="006F5F2F" w:rsidP="006F5F2F">
      <w:pPr>
        <w:ind w:firstLine="720"/>
        <w:rPr>
          <w:szCs w:val="26"/>
          <w:lang w:val="pt-BR"/>
        </w:rPr>
      </w:pPr>
      <w:r w:rsidRPr="00C64151">
        <w:rPr>
          <w:szCs w:val="26"/>
          <w:lang w:val="pt-BR"/>
        </w:rPr>
        <w:t>a. Nhà thầu giao hàng chậm sẽ bị phạt theo quy định sau:</w:t>
      </w:r>
    </w:p>
    <w:p w:rsidR="006F5F2F" w:rsidRPr="00C64151" w:rsidRDefault="006F5F2F" w:rsidP="006F5F2F">
      <w:pPr>
        <w:ind w:firstLine="720"/>
        <w:rPr>
          <w:szCs w:val="26"/>
          <w:lang w:val="pt-BR"/>
        </w:rPr>
      </w:pPr>
      <w:r w:rsidRPr="00C64151">
        <w:rPr>
          <w:szCs w:val="26"/>
          <w:lang w:val="pt-BR"/>
        </w:rPr>
        <w:t>- Phạt 01% trên tổng giá trị hàng hóa khi giao chậm quá 7 ngày.</w:t>
      </w:r>
    </w:p>
    <w:p w:rsidR="006F5F2F" w:rsidRPr="00C64151" w:rsidRDefault="006F5F2F" w:rsidP="006F5F2F">
      <w:pPr>
        <w:ind w:firstLine="720"/>
        <w:jc w:val="both"/>
        <w:rPr>
          <w:szCs w:val="26"/>
          <w:lang w:val="pt-BR"/>
        </w:rPr>
      </w:pPr>
      <w:r w:rsidRPr="00C64151">
        <w:rPr>
          <w:szCs w:val="26"/>
          <w:lang w:val="pt-BR"/>
        </w:rPr>
        <w:t>- Nếu quá 15 ngày kể từ thời điểm giao hàng theo thỏa thuận mà Nhà thầu chưa giao hàng thì đơn vị sử dụng được quyền mua của đơn vị khác, Nhà thầu sẽ bị phạt theo quy định, đồng thời sẽ phải bồi thường chênh lệch giá cho toàn bộ số lượng hàng hóa mà đơn vị sử dụng mua trong năm của mặt hàng đó.</w:t>
      </w:r>
    </w:p>
    <w:p w:rsidR="006F5F2F" w:rsidRPr="00C64151" w:rsidRDefault="006F5F2F" w:rsidP="006F5F2F">
      <w:pPr>
        <w:ind w:firstLine="720"/>
        <w:jc w:val="both"/>
        <w:rPr>
          <w:szCs w:val="26"/>
          <w:lang w:val="pt-BR"/>
        </w:rPr>
      </w:pPr>
      <w:r w:rsidRPr="00C64151">
        <w:rPr>
          <w:szCs w:val="26"/>
          <w:lang w:val="pt-BR"/>
        </w:rPr>
        <w:t xml:space="preserve">b. Đơn vị sử dụng thanh toán cho nhà thầu chậm hơn 7 ngày tính từ thời điểm thanh toán theo thỏa thuận, thì sẽ bị phạt tính theo lãi suất trả chậm của Ngân hàng nhà </w:t>
      </w:r>
      <w:r w:rsidRPr="00C64151">
        <w:rPr>
          <w:szCs w:val="26"/>
          <w:lang w:val="pt-BR"/>
        </w:rPr>
        <w:lastRenderedPageBreak/>
        <w:t>nước tại thời điểm trả chậm. Thời gian tính trả chậm kể từ ngày đơn vị sử dụng trể hạn thanh toán.</w:t>
      </w:r>
    </w:p>
    <w:p w:rsidR="006F5F2F" w:rsidRPr="00C64151" w:rsidRDefault="005C5FA8" w:rsidP="006F5F2F">
      <w:pPr>
        <w:ind w:firstLine="720"/>
        <w:rPr>
          <w:szCs w:val="26"/>
          <w:lang w:val="pt-BR"/>
        </w:rPr>
      </w:pPr>
      <w:r>
        <w:rPr>
          <w:szCs w:val="26"/>
          <w:lang w:val="pt-BR"/>
        </w:rPr>
        <w:t>2</w:t>
      </w:r>
      <w:r w:rsidR="006F5F2F" w:rsidRPr="00C64151">
        <w:rPr>
          <w:szCs w:val="26"/>
          <w:lang w:val="pt-BR"/>
        </w:rPr>
        <w:t>. Các hình thức xử phạt khác theo quy định của pháp luật.</w:t>
      </w:r>
    </w:p>
    <w:p w:rsidR="006F5F2F" w:rsidRPr="00C64151" w:rsidRDefault="006F5F2F" w:rsidP="006F5F2F">
      <w:pPr>
        <w:tabs>
          <w:tab w:val="left" w:pos="360"/>
        </w:tabs>
        <w:ind w:left="360"/>
        <w:jc w:val="both"/>
        <w:rPr>
          <w:b/>
          <w:szCs w:val="26"/>
          <w:lang w:val="pt-BR"/>
        </w:rPr>
      </w:pPr>
      <w:r w:rsidRPr="00C64151">
        <w:rPr>
          <w:b/>
          <w:szCs w:val="26"/>
          <w:lang w:val="pt-BR"/>
        </w:rPr>
        <w:tab/>
        <w:t>Điều 7. Các nội dung liên quan khác</w:t>
      </w:r>
    </w:p>
    <w:p w:rsidR="006F5F2F" w:rsidRPr="00C64151" w:rsidRDefault="006F5F2F" w:rsidP="006F5F2F">
      <w:pPr>
        <w:tabs>
          <w:tab w:val="left" w:pos="360"/>
        </w:tabs>
        <w:jc w:val="both"/>
        <w:rPr>
          <w:b/>
          <w:szCs w:val="26"/>
          <w:lang w:val="pt-BR"/>
        </w:rPr>
      </w:pPr>
      <w:r w:rsidRPr="00C64151">
        <w:rPr>
          <w:b/>
          <w:szCs w:val="26"/>
          <w:lang w:val="pt-BR"/>
        </w:rPr>
        <w:tab/>
      </w:r>
      <w:r w:rsidRPr="00C64151">
        <w:rPr>
          <w:b/>
          <w:szCs w:val="26"/>
          <w:lang w:val="pt-BR"/>
        </w:rPr>
        <w:tab/>
        <w:t>1. Bảo lãnh thực hiện hợp đồng</w:t>
      </w:r>
    </w:p>
    <w:p w:rsidR="006F5F2F" w:rsidRPr="00C64151" w:rsidRDefault="006F5F2F" w:rsidP="006F5F2F">
      <w:pPr>
        <w:tabs>
          <w:tab w:val="left" w:pos="360"/>
        </w:tabs>
        <w:ind w:left="360"/>
        <w:jc w:val="both"/>
        <w:rPr>
          <w:szCs w:val="26"/>
          <w:lang w:val="pt-BR"/>
        </w:rPr>
      </w:pPr>
      <w:r w:rsidRPr="00C64151">
        <w:rPr>
          <w:szCs w:val="26"/>
          <w:lang w:val="pt-BR"/>
        </w:rPr>
        <w:tab/>
        <w:t>Nhà thầu phải thực hiện bảo lãnh thực hiện hợp đồng với từng đơn vị sử dụng theo quy định .</w:t>
      </w:r>
    </w:p>
    <w:p w:rsidR="006F5F2F" w:rsidRPr="00C64151" w:rsidRDefault="006F5F2F" w:rsidP="006F5F2F">
      <w:pPr>
        <w:tabs>
          <w:tab w:val="left" w:pos="360"/>
        </w:tabs>
        <w:ind w:left="360"/>
        <w:jc w:val="both"/>
        <w:rPr>
          <w:b/>
          <w:szCs w:val="26"/>
          <w:lang w:val="pt-BR"/>
        </w:rPr>
      </w:pPr>
      <w:r w:rsidRPr="00C64151">
        <w:rPr>
          <w:b/>
          <w:szCs w:val="26"/>
          <w:lang w:val="pt-BR"/>
        </w:rPr>
        <w:tab/>
        <w:t>2. Thông báo</w:t>
      </w:r>
    </w:p>
    <w:p w:rsidR="006F5F2F" w:rsidRPr="00C64151" w:rsidRDefault="006F5F2F" w:rsidP="006F5F2F">
      <w:pPr>
        <w:tabs>
          <w:tab w:val="left" w:pos="360"/>
        </w:tabs>
        <w:jc w:val="both"/>
        <w:rPr>
          <w:szCs w:val="26"/>
          <w:lang w:val="pt-BR"/>
        </w:rPr>
      </w:pPr>
      <w:r w:rsidRPr="00C64151">
        <w:rPr>
          <w:szCs w:val="26"/>
          <w:lang w:val="pt-BR"/>
        </w:rPr>
        <w:tab/>
      </w:r>
      <w:r w:rsidRPr="00C64151">
        <w:rPr>
          <w:szCs w:val="26"/>
          <w:lang w:val="pt-BR"/>
        </w:rPr>
        <w:tab/>
        <w:t>Bất cứ thông báo nào của một bên gửi cho bên kia liên quan đến hợp đồng của các đơn vị sử dụng phải được thực hiện bằng văn bản và gửi đúng theo địa chỉ nêu trên.</w:t>
      </w:r>
    </w:p>
    <w:p w:rsidR="006F5F2F" w:rsidRPr="00C64151" w:rsidRDefault="006F5F2F" w:rsidP="006F5F2F">
      <w:pPr>
        <w:tabs>
          <w:tab w:val="left" w:pos="360"/>
        </w:tabs>
        <w:ind w:left="360"/>
        <w:jc w:val="both"/>
        <w:rPr>
          <w:b/>
          <w:szCs w:val="26"/>
          <w:lang w:val="pt-BR"/>
        </w:rPr>
      </w:pPr>
      <w:r w:rsidRPr="00C64151">
        <w:rPr>
          <w:b/>
          <w:szCs w:val="26"/>
          <w:lang w:val="pt-BR"/>
        </w:rPr>
        <w:tab/>
        <w:t>3. Giải quyết tranh chấp hợp đồng</w:t>
      </w:r>
    </w:p>
    <w:p w:rsidR="006F5F2F" w:rsidRPr="00C64151" w:rsidRDefault="006F5F2F" w:rsidP="006F5F2F">
      <w:pPr>
        <w:tabs>
          <w:tab w:val="left" w:pos="360"/>
        </w:tabs>
        <w:jc w:val="both"/>
        <w:rPr>
          <w:szCs w:val="26"/>
          <w:lang w:val="pt-BR"/>
        </w:rPr>
      </w:pPr>
      <w:r w:rsidRPr="00C64151">
        <w:rPr>
          <w:szCs w:val="26"/>
          <w:lang w:val="pt-BR"/>
        </w:rPr>
        <w:tab/>
      </w:r>
      <w:r w:rsidRPr="00C64151">
        <w:rPr>
          <w:szCs w:val="26"/>
          <w:lang w:val="pt-BR"/>
        </w:rPr>
        <w:tab/>
        <w:t>Mọi phát sinh trong quá trình thực hiện hợp đồng, Nhà thầu và đơn vị sử dụng cùng phối hợp xem xét. Kết quả làm việc giữa Nhà thầu và đơn vị sử dụng phải lập thành biên bản, trong đó phải ghi rõ nội dung cam kết về cách giải quyết và thời gian thực hiện cam kết của Nhà thầu hoặc/và đơn vị sử dụng.</w:t>
      </w:r>
    </w:p>
    <w:p w:rsidR="006F5F2F" w:rsidRPr="00C64151" w:rsidRDefault="006F5F2F" w:rsidP="006F5F2F">
      <w:pPr>
        <w:tabs>
          <w:tab w:val="left" w:pos="360"/>
        </w:tabs>
        <w:jc w:val="both"/>
        <w:rPr>
          <w:szCs w:val="26"/>
          <w:lang w:val="pt-BR"/>
        </w:rPr>
      </w:pPr>
      <w:r w:rsidRPr="00C64151">
        <w:rPr>
          <w:szCs w:val="26"/>
          <w:lang w:val="pt-BR"/>
        </w:rPr>
        <w:tab/>
      </w:r>
      <w:r w:rsidRPr="00C64151">
        <w:rPr>
          <w:szCs w:val="26"/>
          <w:lang w:val="pt-BR"/>
        </w:rPr>
        <w:tab/>
        <w:t>Trong trường hợp Nhà thầu và đơn vị sử dụng chưa thống nhất được cách giải quyết thì Bên mời thầu sẽ xem xét giải quyết trong phạm vi thẩm quyền cho phép.</w:t>
      </w:r>
    </w:p>
    <w:p w:rsidR="006F5F2F" w:rsidRPr="00C64151" w:rsidRDefault="006F5F2F" w:rsidP="006F5F2F">
      <w:pPr>
        <w:tabs>
          <w:tab w:val="left" w:pos="360"/>
        </w:tabs>
        <w:jc w:val="both"/>
        <w:rPr>
          <w:szCs w:val="26"/>
          <w:lang w:val="pt-BR"/>
        </w:rPr>
      </w:pPr>
      <w:r w:rsidRPr="00C64151">
        <w:rPr>
          <w:szCs w:val="26"/>
          <w:lang w:val="pt-BR"/>
        </w:rPr>
        <w:tab/>
      </w:r>
      <w:r w:rsidRPr="00C64151">
        <w:rPr>
          <w:szCs w:val="26"/>
          <w:lang w:val="pt-BR"/>
        </w:rPr>
        <w:tab/>
        <w:t>Thỏa thuận khung này được lập thành 03 bản, Bên mời thầu giữ 02 bản, Nhà thầu giữ 01 bản. Hai bên cam kết thực hiện đúng các nội dung thỏa thuận nêu trên. Chịu trách nhiệm trước pháp luật về các nội dung thuộc phạm vi của mình./.</w:t>
      </w:r>
    </w:p>
    <w:p w:rsidR="006F5F2F" w:rsidRPr="00C64151" w:rsidRDefault="006F5F2F" w:rsidP="006F5F2F">
      <w:pPr>
        <w:tabs>
          <w:tab w:val="left" w:pos="360"/>
        </w:tabs>
        <w:spacing w:before="60" w:after="60"/>
        <w:jc w:val="both"/>
        <w:rPr>
          <w:szCs w:val="26"/>
          <w:lang w:val="vi-VN"/>
        </w:rPr>
      </w:pPr>
    </w:p>
    <w:tbl>
      <w:tblPr>
        <w:tblW w:w="0" w:type="auto"/>
        <w:tblLook w:val="01E0"/>
      </w:tblPr>
      <w:tblGrid>
        <w:gridCol w:w="4809"/>
        <w:gridCol w:w="4767"/>
      </w:tblGrid>
      <w:tr w:rsidR="006F5F2F" w:rsidRPr="00C64151" w:rsidTr="003C3BD1">
        <w:tc>
          <w:tcPr>
            <w:tcW w:w="5165" w:type="dxa"/>
          </w:tcPr>
          <w:p w:rsidR="006F5F2F" w:rsidRPr="00C64151" w:rsidRDefault="006F5F2F" w:rsidP="003C3BD1">
            <w:pPr>
              <w:tabs>
                <w:tab w:val="left" w:pos="720"/>
                <w:tab w:val="left" w:pos="1620"/>
              </w:tabs>
              <w:spacing w:before="60" w:after="60"/>
              <w:jc w:val="both"/>
              <w:rPr>
                <w:b/>
                <w:szCs w:val="26"/>
              </w:rPr>
            </w:pPr>
            <w:r w:rsidRPr="00C64151">
              <w:rPr>
                <w:b/>
                <w:szCs w:val="26"/>
                <w:lang w:val="vi-VN"/>
              </w:rPr>
              <w:tab/>
            </w:r>
            <w:r w:rsidRPr="00C64151">
              <w:rPr>
                <w:b/>
                <w:szCs w:val="26"/>
              </w:rPr>
              <w:t>ĐẠI DIỆN NHÀ THẦU</w:t>
            </w:r>
          </w:p>
        </w:tc>
        <w:tc>
          <w:tcPr>
            <w:tcW w:w="5165" w:type="dxa"/>
          </w:tcPr>
          <w:p w:rsidR="006F5F2F" w:rsidRPr="00C64151" w:rsidRDefault="006F5F2F" w:rsidP="003C3BD1">
            <w:pPr>
              <w:tabs>
                <w:tab w:val="left" w:pos="720"/>
                <w:tab w:val="left" w:pos="1620"/>
              </w:tabs>
              <w:spacing w:before="60" w:after="60"/>
              <w:jc w:val="center"/>
              <w:rPr>
                <w:b/>
                <w:szCs w:val="26"/>
              </w:rPr>
            </w:pPr>
            <w:r w:rsidRPr="00C64151">
              <w:rPr>
                <w:b/>
                <w:szCs w:val="26"/>
              </w:rPr>
              <w:t>ĐẠI DIỆN BÊN MỜI THẦU</w:t>
            </w:r>
          </w:p>
        </w:tc>
      </w:tr>
    </w:tbl>
    <w:p w:rsidR="00D940C3" w:rsidRDefault="00D940C3"/>
    <w:p w:rsidR="007818B6" w:rsidRDefault="007818B6"/>
    <w:p w:rsidR="007818B6" w:rsidRDefault="007818B6"/>
    <w:p w:rsidR="007818B6" w:rsidRDefault="007818B6"/>
    <w:p w:rsidR="007818B6" w:rsidRDefault="007818B6"/>
    <w:p w:rsidR="007818B6" w:rsidRDefault="007818B6"/>
    <w:p w:rsidR="007818B6" w:rsidRDefault="007818B6"/>
    <w:p w:rsidR="007818B6" w:rsidRDefault="007818B6"/>
    <w:p w:rsidR="007818B6" w:rsidRDefault="007818B6"/>
    <w:p w:rsidR="007818B6" w:rsidRDefault="007818B6"/>
    <w:p w:rsidR="007818B6" w:rsidRDefault="007818B6"/>
    <w:p w:rsidR="007818B6" w:rsidRDefault="007818B6"/>
    <w:p w:rsidR="007818B6" w:rsidRDefault="007818B6"/>
    <w:p w:rsidR="007818B6" w:rsidRDefault="007818B6"/>
    <w:p w:rsidR="007818B6" w:rsidRDefault="007818B6"/>
    <w:p w:rsidR="007818B6" w:rsidRDefault="007818B6"/>
    <w:p w:rsidR="007818B6" w:rsidRDefault="007818B6"/>
    <w:p w:rsidR="007818B6" w:rsidRDefault="007818B6"/>
    <w:p w:rsidR="007818B6" w:rsidRDefault="007818B6"/>
    <w:p w:rsidR="007818B6" w:rsidRDefault="007818B6"/>
    <w:p w:rsidR="007818B6" w:rsidRDefault="007818B6">
      <w:pPr>
        <w:sectPr w:rsidR="007818B6" w:rsidSect="00D940C3">
          <w:pgSz w:w="12240" w:h="15840"/>
          <w:pgMar w:top="1440" w:right="1440" w:bottom="1440" w:left="1440" w:header="720" w:footer="720" w:gutter="0"/>
          <w:cols w:space="720"/>
          <w:docGrid w:linePitch="360"/>
        </w:sectPr>
      </w:pPr>
    </w:p>
    <w:p w:rsidR="007818B6" w:rsidRDefault="007818B6"/>
    <w:p w:rsidR="007818B6" w:rsidRPr="007818B6" w:rsidRDefault="007818B6" w:rsidP="007818B6">
      <w:pPr>
        <w:ind w:left="720" w:firstLine="720"/>
        <w:jc w:val="center"/>
        <w:rPr>
          <w:b/>
        </w:rPr>
      </w:pPr>
      <w:r w:rsidRPr="007818B6">
        <w:rPr>
          <w:b/>
        </w:rPr>
        <w:t>PHỤ LỤC THỎA THUẬN KHUNG</w:t>
      </w:r>
    </w:p>
    <w:p w:rsidR="007818B6" w:rsidRPr="007818B6" w:rsidRDefault="007818B6" w:rsidP="003C33FD">
      <w:pPr>
        <w:ind w:left="720" w:firstLine="720"/>
        <w:jc w:val="center"/>
        <w:rPr>
          <w:i/>
        </w:rPr>
      </w:pPr>
      <w:r w:rsidRPr="007818B6">
        <w:rPr>
          <w:i/>
        </w:rPr>
        <w:t xml:space="preserve">(Kèm </w:t>
      </w:r>
      <w:proofErr w:type="gramStart"/>
      <w:r w:rsidRPr="007818B6">
        <w:rPr>
          <w:i/>
        </w:rPr>
        <w:t>theo</w:t>
      </w:r>
      <w:proofErr w:type="gramEnd"/>
      <w:r w:rsidRPr="007818B6">
        <w:rPr>
          <w:i/>
        </w:rPr>
        <w:t xml:space="preserve"> Thỏa thuận khung số ____, ngày ____ tháng ____ năm ____)</w:t>
      </w:r>
    </w:p>
    <w:p w:rsidR="007818B6" w:rsidRDefault="007818B6" w:rsidP="003C33FD">
      <w:pPr>
        <w:ind w:left="720" w:firstLine="720"/>
        <w:jc w:val="center"/>
      </w:pPr>
      <w:r>
        <w:t xml:space="preserve">Phụ lục này được lập trên cơ sở yêu cầu nêu trong HSMT, HSDT và những thỏa thuận đã đạt được trong quá trình thương thảo, hoàn thiện thỏa thuận khung, bao gồm giá (thành tiền) cho từng hạng mục, nội dung công việc, phạm </w:t>
      </w:r>
      <w:proofErr w:type="gramStart"/>
      <w:r>
        <w:t>vi</w:t>
      </w:r>
      <w:proofErr w:type="gramEnd"/>
      <w:r>
        <w:t xml:space="preserve"> cung cấp. Giá (thành tiền) cho từng hạng mục, nội dung công việc đã bao gồm các chi phí về thuế, phí, lệ phí (nếu có) </w:t>
      </w:r>
      <w:proofErr w:type="gramStart"/>
      <w:r>
        <w:t>theo</w:t>
      </w:r>
      <w:proofErr w:type="gramEnd"/>
      <w:r>
        <w:t xml:space="preserve"> thuế suất, mức phí, lệ phí tại thời điểm 28 ngày trước ngày có thời điểm đóng thầu theo quy định</w:t>
      </w:r>
    </w:p>
    <w:p w:rsidR="007818B6" w:rsidRDefault="007818B6" w:rsidP="007818B6">
      <w:pPr>
        <w:ind w:left="720" w:firstLine="720"/>
      </w:pPr>
    </w:p>
    <w:tbl>
      <w:tblPr>
        <w:tblW w:w="13424" w:type="dxa"/>
        <w:tblInd w:w="94" w:type="dxa"/>
        <w:tblLayout w:type="fixed"/>
        <w:tblLook w:val="04A0"/>
      </w:tblPr>
      <w:tblGrid>
        <w:gridCol w:w="560"/>
        <w:gridCol w:w="894"/>
        <w:gridCol w:w="1260"/>
        <w:gridCol w:w="1080"/>
        <w:gridCol w:w="960"/>
        <w:gridCol w:w="840"/>
        <w:gridCol w:w="990"/>
        <w:gridCol w:w="814"/>
        <w:gridCol w:w="986"/>
        <w:gridCol w:w="810"/>
        <w:gridCol w:w="810"/>
        <w:gridCol w:w="810"/>
        <w:gridCol w:w="814"/>
        <w:gridCol w:w="900"/>
        <w:gridCol w:w="896"/>
      </w:tblGrid>
      <w:tr w:rsidR="003C33FD" w:rsidRPr="007818B6" w:rsidTr="003C33FD">
        <w:trPr>
          <w:trHeight w:val="2135"/>
        </w:trPr>
        <w:tc>
          <w:tcPr>
            <w:tcW w:w="560" w:type="dxa"/>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3C33FD" w:rsidRPr="007818B6" w:rsidRDefault="003C33FD" w:rsidP="003C33FD">
            <w:pPr>
              <w:jc w:val="center"/>
              <w:rPr>
                <w:bCs/>
                <w:sz w:val="24"/>
                <w:szCs w:val="24"/>
              </w:rPr>
            </w:pPr>
            <w:r w:rsidRPr="007818B6">
              <w:rPr>
                <w:bCs/>
                <w:sz w:val="24"/>
                <w:szCs w:val="24"/>
              </w:rPr>
              <w:t>Stt</w:t>
            </w:r>
          </w:p>
        </w:tc>
        <w:tc>
          <w:tcPr>
            <w:tcW w:w="894" w:type="dxa"/>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3C33FD" w:rsidRPr="007818B6" w:rsidRDefault="003C33FD" w:rsidP="003C33FD">
            <w:pPr>
              <w:jc w:val="center"/>
              <w:rPr>
                <w:bCs/>
                <w:sz w:val="24"/>
                <w:szCs w:val="24"/>
              </w:rPr>
            </w:pPr>
            <w:r w:rsidRPr="007818B6">
              <w:rPr>
                <w:bCs/>
                <w:sz w:val="24"/>
                <w:szCs w:val="24"/>
              </w:rPr>
              <w:t>Mã số</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33FD" w:rsidRPr="007818B6" w:rsidRDefault="003C33FD" w:rsidP="003C33FD">
            <w:pPr>
              <w:jc w:val="center"/>
              <w:rPr>
                <w:bCs/>
                <w:sz w:val="24"/>
                <w:szCs w:val="24"/>
              </w:rPr>
            </w:pPr>
            <w:r w:rsidRPr="007818B6">
              <w:rPr>
                <w:bCs/>
                <w:sz w:val="24"/>
                <w:szCs w:val="24"/>
              </w:rPr>
              <w:t xml:space="preserve">Tên </w:t>
            </w:r>
            <w:r w:rsidRPr="003C33FD">
              <w:rPr>
                <w:bCs/>
                <w:sz w:val="24"/>
                <w:szCs w:val="24"/>
              </w:rPr>
              <w:t>thuốc</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33FD" w:rsidRPr="007818B6" w:rsidRDefault="003C33FD" w:rsidP="003C33FD">
            <w:pPr>
              <w:jc w:val="center"/>
              <w:rPr>
                <w:bCs/>
                <w:sz w:val="24"/>
                <w:szCs w:val="24"/>
              </w:rPr>
            </w:pPr>
            <w:r w:rsidRPr="003C33FD">
              <w:rPr>
                <w:bCs/>
                <w:sz w:val="24"/>
                <w:szCs w:val="24"/>
              </w:rPr>
              <w:t>Tên hoạt chất/tên thành phần của thuốc</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33FD" w:rsidRPr="007818B6" w:rsidRDefault="003C33FD" w:rsidP="003C33FD">
            <w:pPr>
              <w:jc w:val="center"/>
              <w:rPr>
                <w:bCs/>
                <w:sz w:val="24"/>
                <w:szCs w:val="24"/>
              </w:rPr>
            </w:pPr>
            <w:r w:rsidRPr="003C33FD">
              <w:rPr>
                <w:bCs/>
                <w:sz w:val="24"/>
                <w:szCs w:val="24"/>
              </w:rPr>
              <w:t>Nồng độ, hàm lượng</w:t>
            </w:r>
          </w:p>
        </w:tc>
        <w:tc>
          <w:tcPr>
            <w:tcW w:w="8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33FD" w:rsidRPr="007818B6" w:rsidRDefault="003C33FD" w:rsidP="003C33FD">
            <w:pPr>
              <w:jc w:val="center"/>
              <w:rPr>
                <w:bCs/>
                <w:sz w:val="24"/>
                <w:szCs w:val="24"/>
              </w:rPr>
            </w:pPr>
            <w:r w:rsidRPr="007818B6">
              <w:rPr>
                <w:bCs/>
                <w:sz w:val="24"/>
                <w:szCs w:val="24"/>
              </w:rPr>
              <w:t>Dạng bào chế</w:t>
            </w:r>
            <w:r w:rsidRPr="003C33FD">
              <w:rPr>
                <w:bCs/>
                <w:sz w:val="24"/>
                <w:szCs w:val="24"/>
              </w:rPr>
              <w:t>/đường dùng</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33FD" w:rsidRPr="007818B6" w:rsidRDefault="003C33FD" w:rsidP="003C33FD">
            <w:pPr>
              <w:jc w:val="center"/>
              <w:rPr>
                <w:bCs/>
                <w:sz w:val="24"/>
                <w:szCs w:val="24"/>
              </w:rPr>
            </w:pPr>
            <w:r w:rsidRPr="003C33FD">
              <w:rPr>
                <w:bCs/>
                <w:sz w:val="24"/>
                <w:szCs w:val="24"/>
              </w:rPr>
              <w:t>Quy cách đóng gói</w:t>
            </w:r>
          </w:p>
        </w:tc>
        <w:tc>
          <w:tcPr>
            <w:tcW w:w="814" w:type="dxa"/>
            <w:tcBorders>
              <w:top w:val="single" w:sz="4" w:space="0" w:color="auto"/>
              <w:left w:val="single" w:sz="4" w:space="0" w:color="auto"/>
              <w:bottom w:val="single" w:sz="4" w:space="0" w:color="000000"/>
              <w:right w:val="single" w:sz="4" w:space="0" w:color="auto"/>
            </w:tcBorders>
            <w:shd w:val="clear" w:color="000000" w:fill="FFFFFF"/>
            <w:vAlign w:val="center"/>
            <w:hideMark/>
          </w:tcPr>
          <w:p w:rsidR="003C33FD" w:rsidRPr="007818B6" w:rsidRDefault="003C33FD" w:rsidP="003C33FD">
            <w:pPr>
              <w:jc w:val="center"/>
              <w:rPr>
                <w:bCs/>
                <w:sz w:val="24"/>
                <w:szCs w:val="24"/>
              </w:rPr>
            </w:pPr>
            <w:r w:rsidRPr="003C33FD">
              <w:rPr>
                <w:bCs/>
                <w:sz w:val="24"/>
                <w:szCs w:val="24"/>
              </w:rPr>
              <w:t>Hạn dùng</w:t>
            </w:r>
          </w:p>
        </w:tc>
        <w:tc>
          <w:tcPr>
            <w:tcW w:w="9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33FD" w:rsidRPr="007818B6" w:rsidRDefault="003C33FD" w:rsidP="003C33FD">
            <w:pPr>
              <w:jc w:val="center"/>
              <w:rPr>
                <w:bCs/>
                <w:sz w:val="24"/>
                <w:szCs w:val="24"/>
              </w:rPr>
            </w:pPr>
            <w:r w:rsidRPr="003C33FD">
              <w:t>GĐKL H hoặc GPNK</w:t>
            </w:r>
          </w:p>
        </w:tc>
        <w:tc>
          <w:tcPr>
            <w:tcW w:w="810" w:type="dxa"/>
            <w:tcBorders>
              <w:top w:val="single" w:sz="4" w:space="0" w:color="auto"/>
              <w:left w:val="single" w:sz="4" w:space="0" w:color="auto"/>
              <w:right w:val="single" w:sz="4" w:space="0" w:color="auto"/>
            </w:tcBorders>
            <w:shd w:val="clear" w:color="000000" w:fill="FFFFFF"/>
            <w:vAlign w:val="center"/>
          </w:tcPr>
          <w:p w:rsidR="003C33FD" w:rsidRPr="003C33FD" w:rsidRDefault="003C33FD" w:rsidP="003C33FD">
            <w:pPr>
              <w:jc w:val="center"/>
              <w:rPr>
                <w:bCs/>
                <w:sz w:val="24"/>
                <w:szCs w:val="24"/>
              </w:rPr>
            </w:pPr>
            <w:r w:rsidRPr="003C33FD">
              <w:t>Cơ sở sản xuất</w:t>
            </w:r>
          </w:p>
        </w:tc>
        <w:tc>
          <w:tcPr>
            <w:tcW w:w="810" w:type="dxa"/>
            <w:tcBorders>
              <w:top w:val="single" w:sz="4" w:space="0" w:color="auto"/>
              <w:left w:val="single" w:sz="4" w:space="0" w:color="auto"/>
              <w:right w:val="single" w:sz="4" w:space="0" w:color="auto"/>
            </w:tcBorders>
            <w:shd w:val="clear" w:color="000000" w:fill="FFFFFF"/>
            <w:vAlign w:val="center"/>
          </w:tcPr>
          <w:p w:rsidR="003C33FD" w:rsidRPr="003C33FD" w:rsidRDefault="003C33FD" w:rsidP="003C33FD">
            <w:pPr>
              <w:jc w:val="center"/>
              <w:rPr>
                <w:bCs/>
                <w:sz w:val="24"/>
                <w:szCs w:val="24"/>
              </w:rPr>
            </w:pPr>
            <w:r w:rsidRPr="003C33FD">
              <w:t>Nước sản xuất</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rsidR="003C33FD" w:rsidRPr="003C33FD" w:rsidRDefault="003C33FD" w:rsidP="003C33FD">
            <w:pPr>
              <w:jc w:val="center"/>
              <w:rPr>
                <w:bCs/>
                <w:sz w:val="24"/>
                <w:szCs w:val="24"/>
              </w:rPr>
            </w:pPr>
            <w:r w:rsidRPr="003C33FD">
              <w:t>Đơn vị tính</w:t>
            </w:r>
          </w:p>
        </w:tc>
        <w:tc>
          <w:tcPr>
            <w:tcW w:w="814" w:type="dxa"/>
            <w:tcBorders>
              <w:top w:val="single" w:sz="4" w:space="0" w:color="auto"/>
              <w:left w:val="single" w:sz="4" w:space="0" w:color="auto"/>
              <w:bottom w:val="single" w:sz="4" w:space="0" w:color="auto"/>
              <w:right w:val="single" w:sz="4" w:space="0" w:color="auto"/>
            </w:tcBorders>
            <w:shd w:val="clear" w:color="000000" w:fill="FFFFFF"/>
            <w:vAlign w:val="center"/>
          </w:tcPr>
          <w:p w:rsidR="003C33FD" w:rsidRPr="003C33FD" w:rsidRDefault="003C33FD" w:rsidP="003C33FD">
            <w:pPr>
              <w:jc w:val="center"/>
              <w:rPr>
                <w:bCs/>
                <w:sz w:val="24"/>
                <w:szCs w:val="24"/>
              </w:rPr>
            </w:pPr>
            <w:r w:rsidRPr="003C33FD">
              <w:t>Đơn giá (VND) (có VAT)</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3C33FD" w:rsidRPr="003C33FD" w:rsidRDefault="003C33FD" w:rsidP="003C33FD">
            <w:pPr>
              <w:jc w:val="center"/>
              <w:rPr>
                <w:bCs/>
                <w:sz w:val="24"/>
                <w:szCs w:val="24"/>
              </w:rPr>
            </w:pPr>
            <w:r w:rsidRPr="003C33FD">
              <w:t>Số lượng</w:t>
            </w:r>
          </w:p>
        </w:tc>
        <w:tc>
          <w:tcPr>
            <w:tcW w:w="896" w:type="dxa"/>
            <w:tcBorders>
              <w:top w:val="single" w:sz="4" w:space="0" w:color="auto"/>
              <w:left w:val="single" w:sz="4" w:space="0" w:color="auto"/>
              <w:bottom w:val="single" w:sz="4" w:space="0" w:color="auto"/>
              <w:right w:val="single" w:sz="4" w:space="0" w:color="auto"/>
            </w:tcBorders>
            <w:shd w:val="clear" w:color="000000" w:fill="FFFFFF"/>
            <w:vAlign w:val="center"/>
          </w:tcPr>
          <w:p w:rsidR="003C33FD" w:rsidRPr="003C33FD" w:rsidRDefault="003C33FD" w:rsidP="003C33FD">
            <w:pPr>
              <w:jc w:val="center"/>
              <w:rPr>
                <w:bCs/>
                <w:sz w:val="24"/>
                <w:szCs w:val="24"/>
              </w:rPr>
            </w:pPr>
            <w:r w:rsidRPr="003C33FD">
              <w:t>Thành tiền (VND) (có VAT)</w:t>
            </w:r>
          </w:p>
        </w:tc>
      </w:tr>
      <w:tr w:rsidR="003C33FD" w:rsidRPr="007818B6" w:rsidTr="003C33FD">
        <w:trPr>
          <w:trHeight w:val="63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3C33FD" w:rsidRPr="007818B6" w:rsidRDefault="003C33FD" w:rsidP="007818B6">
            <w:pPr>
              <w:rPr>
                <w:sz w:val="24"/>
                <w:szCs w:val="24"/>
              </w:rPr>
            </w:pPr>
            <w:r w:rsidRPr="007818B6">
              <w:rPr>
                <w:sz w:val="24"/>
                <w:szCs w:val="24"/>
              </w:rPr>
              <w:t>1</w:t>
            </w:r>
          </w:p>
        </w:tc>
        <w:tc>
          <w:tcPr>
            <w:tcW w:w="894" w:type="dxa"/>
            <w:tcBorders>
              <w:top w:val="nil"/>
              <w:left w:val="nil"/>
              <w:bottom w:val="single" w:sz="4" w:space="0" w:color="auto"/>
              <w:right w:val="single" w:sz="4" w:space="0" w:color="auto"/>
            </w:tcBorders>
            <w:shd w:val="clear" w:color="000000" w:fill="FFFFFF"/>
            <w:noWrap/>
            <w:vAlign w:val="center"/>
            <w:hideMark/>
          </w:tcPr>
          <w:p w:rsidR="003C33FD" w:rsidRPr="007818B6" w:rsidRDefault="003C33FD" w:rsidP="007818B6">
            <w:pPr>
              <w:jc w:val="right"/>
              <w:rPr>
                <w:sz w:val="24"/>
                <w:szCs w:val="24"/>
              </w:rPr>
            </w:pPr>
          </w:p>
        </w:tc>
        <w:tc>
          <w:tcPr>
            <w:tcW w:w="1260" w:type="dxa"/>
            <w:tcBorders>
              <w:top w:val="nil"/>
              <w:left w:val="nil"/>
              <w:bottom w:val="single" w:sz="4" w:space="0" w:color="auto"/>
              <w:right w:val="single" w:sz="4" w:space="0" w:color="auto"/>
            </w:tcBorders>
            <w:shd w:val="clear" w:color="000000" w:fill="FFFFFF"/>
            <w:vAlign w:val="center"/>
            <w:hideMark/>
          </w:tcPr>
          <w:p w:rsidR="003C33FD" w:rsidRPr="007818B6" w:rsidRDefault="003C33FD" w:rsidP="007818B6">
            <w:pPr>
              <w:rPr>
                <w:sz w:val="24"/>
                <w:szCs w:val="24"/>
              </w:rPr>
            </w:pPr>
          </w:p>
        </w:tc>
        <w:tc>
          <w:tcPr>
            <w:tcW w:w="1080" w:type="dxa"/>
            <w:tcBorders>
              <w:top w:val="nil"/>
              <w:left w:val="nil"/>
              <w:bottom w:val="single" w:sz="4" w:space="0" w:color="auto"/>
              <w:right w:val="single" w:sz="4" w:space="0" w:color="auto"/>
            </w:tcBorders>
            <w:shd w:val="clear" w:color="000000" w:fill="FFFFFF"/>
            <w:vAlign w:val="center"/>
            <w:hideMark/>
          </w:tcPr>
          <w:p w:rsidR="003C33FD" w:rsidRPr="007818B6" w:rsidRDefault="003C33FD" w:rsidP="007818B6">
            <w:pPr>
              <w:rPr>
                <w:sz w:val="24"/>
                <w:szCs w:val="24"/>
              </w:rPr>
            </w:pPr>
          </w:p>
        </w:tc>
        <w:tc>
          <w:tcPr>
            <w:tcW w:w="960" w:type="dxa"/>
            <w:tcBorders>
              <w:top w:val="nil"/>
              <w:left w:val="nil"/>
              <w:bottom w:val="single" w:sz="4" w:space="0" w:color="auto"/>
              <w:right w:val="single" w:sz="4" w:space="0" w:color="auto"/>
            </w:tcBorders>
            <w:shd w:val="clear" w:color="000000" w:fill="FFFFFF"/>
            <w:vAlign w:val="center"/>
            <w:hideMark/>
          </w:tcPr>
          <w:p w:rsidR="003C33FD" w:rsidRPr="007818B6" w:rsidRDefault="003C33FD" w:rsidP="007818B6">
            <w:pPr>
              <w:jc w:val="center"/>
              <w:rPr>
                <w:sz w:val="24"/>
                <w:szCs w:val="24"/>
              </w:rPr>
            </w:pPr>
          </w:p>
        </w:tc>
        <w:tc>
          <w:tcPr>
            <w:tcW w:w="840" w:type="dxa"/>
            <w:tcBorders>
              <w:top w:val="nil"/>
              <w:left w:val="nil"/>
              <w:bottom w:val="single" w:sz="4" w:space="0" w:color="auto"/>
              <w:right w:val="single" w:sz="4" w:space="0" w:color="auto"/>
            </w:tcBorders>
            <w:shd w:val="clear" w:color="000000" w:fill="FFFFFF"/>
            <w:vAlign w:val="center"/>
            <w:hideMark/>
          </w:tcPr>
          <w:p w:rsidR="003C33FD" w:rsidRPr="007818B6" w:rsidRDefault="003C33FD" w:rsidP="007818B6">
            <w:pPr>
              <w:jc w:val="center"/>
              <w:rPr>
                <w:sz w:val="24"/>
                <w:szCs w:val="24"/>
              </w:rPr>
            </w:pPr>
          </w:p>
        </w:tc>
        <w:tc>
          <w:tcPr>
            <w:tcW w:w="990" w:type="dxa"/>
            <w:tcBorders>
              <w:top w:val="nil"/>
              <w:left w:val="nil"/>
              <w:bottom w:val="single" w:sz="4" w:space="0" w:color="auto"/>
              <w:right w:val="single" w:sz="4" w:space="0" w:color="auto"/>
            </w:tcBorders>
            <w:shd w:val="clear" w:color="000000" w:fill="FFFFFF"/>
            <w:vAlign w:val="center"/>
            <w:hideMark/>
          </w:tcPr>
          <w:p w:rsidR="003C33FD" w:rsidRPr="007818B6" w:rsidRDefault="003C33FD" w:rsidP="007818B6">
            <w:pPr>
              <w:jc w:val="center"/>
              <w:rPr>
                <w:sz w:val="24"/>
                <w:szCs w:val="24"/>
              </w:rPr>
            </w:pPr>
          </w:p>
        </w:tc>
        <w:tc>
          <w:tcPr>
            <w:tcW w:w="814" w:type="dxa"/>
            <w:tcBorders>
              <w:top w:val="nil"/>
              <w:left w:val="nil"/>
              <w:bottom w:val="single" w:sz="4" w:space="0" w:color="auto"/>
              <w:right w:val="single" w:sz="4" w:space="0" w:color="auto"/>
            </w:tcBorders>
            <w:shd w:val="clear" w:color="000000" w:fill="FFFFFF"/>
            <w:vAlign w:val="center"/>
            <w:hideMark/>
          </w:tcPr>
          <w:p w:rsidR="003C33FD" w:rsidRPr="007818B6" w:rsidRDefault="003C33FD" w:rsidP="007818B6">
            <w:pPr>
              <w:jc w:val="right"/>
              <w:rPr>
                <w:sz w:val="24"/>
                <w:szCs w:val="24"/>
              </w:rPr>
            </w:pPr>
          </w:p>
        </w:tc>
        <w:tc>
          <w:tcPr>
            <w:tcW w:w="986" w:type="dxa"/>
            <w:tcBorders>
              <w:top w:val="nil"/>
              <w:left w:val="nil"/>
              <w:bottom w:val="single" w:sz="4" w:space="0" w:color="auto"/>
              <w:right w:val="single" w:sz="4" w:space="0" w:color="auto"/>
            </w:tcBorders>
            <w:shd w:val="clear" w:color="000000" w:fill="FFFFFF"/>
            <w:vAlign w:val="center"/>
            <w:hideMark/>
          </w:tcPr>
          <w:p w:rsidR="003C33FD" w:rsidRPr="007818B6" w:rsidRDefault="003C33FD" w:rsidP="007818B6">
            <w:pPr>
              <w:jc w:val="right"/>
              <w:rPr>
                <w:sz w:val="24"/>
                <w:szCs w:val="24"/>
              </w:rPr>
            </w:pPr>
          </w:p>
        </w:tc>
        <w:tc>
          <w:tcPr>
            <w:tcW w:w="810" w:type="dxa"/>
            <w:tcBorders>
              <w:top w:val="single" w:sz="4" w:space="0" w:color="auto"/>
              <w:left w:val="nil"/>
              <w:bottom w:val="single" w:sz="4" w:space="0" w:color="auto"/>
              <w:right w:val="single" w:sz="4" w:space="0" w:color="auto"/>
            </w:tcBorders>
            <w:shd w:val="clear" w:color="000000" w:fill="FFFFFF"/>
          </w:tcPr>
          <w:p w:rsidR="003C33FD" w:rsidRPr="007818B6" w:rsidRDefault="003C33FD" w:rsidP="007818B6">
            <w:pPr>
              <w:jc w:val="right"/>
              <w:rPr>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000000" w:fill="FFFFFF"/>
          </w:tcPr>
          <w:p w:rsidR="003C33FD" w:rsidRPr="007818B6" w:rsidRDefault="003C33FD" w:rsidP="007818B6">
            <w:pPr>
              <w:jc w:val="right"/>
              <w:rPr>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000000" w:fill="FFFFFF"/>
          </w:tcPr>
          <w:p w:rsidR="003C33FD" w:rsidRPr="007818B6" w:rsidRDefault="003C33FD" w:rsidP="007818B6">
            <w:pPr>
              <w:jc w:val="right"/>
              <w:rPr>
                <w:sz w:val="24"/>
                <w:szCs w:val="24"/>
              </w:rPr>
            </w:pPr>
          </w:p>
        </w:tc>
        <w:tc>
          <w:tcPr>
            <w:tcW w:w="814" w:type="dxa"/>
            <w:tcBorders>
              <w:top w:val="single" w:sz="4" w:space="0" w:color="auto"/>
              <w:left w:val="single" w:sz="4" w:space="0" w:color="auto"/>
              <w:bottom w:val="single" w:sz="4" w:space="0" w:color="auto"/>
              <w:right w:val="single" w:sz="4" w:space="0" w:color="auto"/>
            </w:tcBorders>
            <w:shd w:val="clear" w:color="000000" w:fill="FFFFFF"/>
          </w:tcPr>
          <w:p w:rsidR="003C33FD" w:rsidRPr="007818B6" w:rsidRDefault="003C33FD" w:rsidP="007818B6">
            <w:pPr>
              <w:jc w:val="right"/>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000000" w:fill="FFFFFF"/>
          </w:tcPr>
          <w:p w:rsidR="003C33FD" w:rsidRPr="007818B6" w:rsidRDefault="003C33FD" w:rsidP="007818B6">
            <w:pPr>
              <w:jc w:val="right"/>
              <w:rPr>
                <w:sz w:val="24"/>
                <w:szCs w:val="24"/>
              </w:rPr>
            </w:pPr>
          </w:p>
        </w:tc>
        <w:tc>
          <w:tcPr>
            <w:tcW w:w="896" w:type="dxa"/>
            <w:tcBorders>
              <w:top w:val="single" w:sz="4" w:space="0" w:color="auto"/>
              <w:left w:val="single" w:sz="4" w:space="0" w:color="auto"/>
              <w:bottom w:val="single" w:sz="4" w:space="0" w:color="auto"/>
              <w:right w:val="single" w:sz="4" w:space="0" w:color="auto"/>
            </w:tcBorders>
            <w:shd w:val="clear" w:color="000000" w:fill="FFFFFF"/>
          </w:tcPr>
          <w:p w:rsidR="003C33FD" w:rsidRPr="007818B6" w:rsidRDefault="003C33FD" w:rsidP="007818B6">
            <w:pPr>
              <w:jc w:val="right"/>
              <w:rPr>
                <w:sz w:val="24"/>
                <w:szCs w:val="24"/>
              </w:rPr>
            </w:pPr>
          </w:p>
        </w:tc>
      </w:tr>
      <w:tr w:rsidR="003C33FD" w:rsidRPr="007818B6" w:rsidTr="003C33FD">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3C33FD" w:rsidRPr="007818B6" w:rsidRDefault="003C33FD" w:rsidP="007818B6">
            <w:pPr>
              <w:rPr>
                <w:sz w:val="24"/>
                <w:szCs w:val="24"/>
              </w:rPr>
            </w:pPr>
            <w:r w:rsidRPr="007818B6">
              <w:rPr>
                <w:sz w:val="24"/>
                <w:szCs w:val="24"/>
              </w:rPr>
              <w:t>2</w:t>
            </w:r>
          </w:p>
        </w:tc>
        <w:tc>
          <w:tcPr>
            <w:tcW w:w="894" w:type="dxa"/>
            <w:tcBorders>
              <w:top w:val="nil"/>
              <w:left w:val="nil"/>
              <w:bottom w:val="single" w:sz="4" w:space="0" w:color="auto"/>
              <w:right w:val="single" w:sz="4" w:space="0" w:color="auto"/>
            </w:tcBorders>
            <w:shd w:val="clear" w:color="000000" w:fill="FFFFFF"/>
            <w:noWrap/>
            <w:vAlign w:val="center"/>
            <w:hideMark/>
          </w:tcPr>
          <w:p w:rsidR="003C33FD" w:rsidRPr="007818B6" w:rsidRDefault="003C33FD" w:rsidP="007818B6">
            <w:pPr>
              <w:jc w:val="right"/>
              <w:rPr>
                <w:sz w:val="24"/>
                <w:szCs w:val="24"/>
              </w:rPr>
            </w:pPr>
          </w:p>
        </w:tc>
        <w:tc>
          <w:tcPr>
            <w:tcW w:w="1260" w:type="dxa"/>
            <w:tcBorders>
              <w:top w:val="nil"/>
              <w:left w:val="nil"/>
              <w:bottom w:val="single" w:sz="4" w:space="0" w:color="auto"/>
              <w:right w:val="single" w:sz="4" w:space="0" w:color="auto"/>
            </w:tcBorders>
            <w:shd w:val="clear" w:color="000000" w:fill="FFFFFF"/>
            <w:vAlign w:val="center"/>
            <w:hideMark/>
          </w:tcPr>
          <w:p w:rsidR="003C33FD" w:rsidRPr="007818B6" w:rsidRDefault="003C33FD" w:rsidP="007818B6">
            <w:pPr>
              <w:rPr>
                <w:sz w:val="24"/>
                <w:szCs w:val="24"/>
              </w:rPr>
            </w:pPr>
          </w:p>
        </w:tc>
        <w:tc>
          <w:tcPr>
            <w:tcW w:w="1080" w:type="dxa"/>
            <w:tcBorders>
              <w:top w:val="nil"/>
              <w:left w:val="nil"/>
              <w:bottom w:val="single" w:sz="4" w:space="0" w:color="auto"/>
              <w:right w:val="single" w:sz="4" w:space="0" w:color="auto"/>
            </w:tcBorders>
            <w:shd w:val="clear" w:color="000000" w:fill="FFFFFF"/>
            <w:vAlign w:val="center"/>
            <w:hideMark/>
          </w:tcPr>
          <w:p w:rsidR="003C33FD" w:rsidRPr="007818B6" w:rsidRDefault="003C33FD" w:rsidP="007818B6">
            <w:pPr>
              <w:rPr>
                <w:sz w:val="24"/>
                <w:szCs w:val="24"/>
              </w:rPr>
            </w:pPr>
          </w:p>
        </w:tc>
        <w:tc>
          <w:tcPr>
            <w:tcW w:w="960" w:type="dxa"/>
            <w:tcBorders>
              <w:top w:val="nil"/>
              <w:left w:val="nil"/>
              <w:bottom w:val="single" w:sz="4" w:space="0" w:color="auto"/>
              <w:right w:val="single" w:sz="4" w:space="0" w:color="auto"/>
            </w:tcBorders>
            <w:shd w:val="clear" w:color="000000" w:fill="FFFFFF"/>
            <w:vAlign w:val="center"/>
            <w:hideMark/>
          </w:tcPr>
          <w:p w:rsidR="003C33FD" w:rsidRPr="007818B6" w:rsidRDefault="003C33FD" w:rsidP="007818B6">
            <w:pPr>
              <w:jc w:val="center"/>
              <w:rPr>
                <w:sz w:val="24"/>
                <w:szCs w:val="24"/>
              </w:rPr>
            </w:pPr>
          </w:p>
        </w:tc>
        <w:tc>
          <w:tcPr>
            <w:tcW w:w="840" w:type="dxa"/>
            <w:tcBorders>
              <w:top w:val="nil"/>
              <w:left w:val="nil"/>
              <w:bottom w:val="single" w:sz="4" w:space="0" w:color="auto"/>
              <w:right w:val="single" w:sz="4" w:space="0" w:color="auto"/>
            </w:tcBorders>
            <w:shd w:val="clear" w:color="000000" w:fill="FFFFFF"/>
            <w:vAlign w:val="center"/>
            <w:hideMark/>
          </w:tcPr>
          <w:p w:rsidR="003C33FD" w:rsidRPr="007818B6" w:rsidRDefault="003C33FD" w:rsidP="007818B6">
            <w:pPr>
              <w:jc w:val="center"/>
              <w:rPr>
                <w:sz w:val="24"/>
                <w:szCs w:val="24"/>
              </w:rPr>
            </w:pPr>
          </w:p>
        </w:tc>
        <w:tc>
          <w:tcPr>
            <w:tcW w:w="990" w:type="dxa"/>
            <w:tcBorders>
              <w:top w:val="nil"/>
              <w:left w:val="nil"/>
              <w:bottom w:val="single" w:sz="4" w:space="0" w:color="auto"/>
              <w:right w:val="single" w:sz="4" w:space="0" w:color="auto"/>
            </w:tcBorders>
            <w:shd w:val="clear" w:color="000000" w:fill="FFFFFF"/>
            <w:vAlign w:val="center"/>
            <w:hideMark/>
          </w:tcPr>
          <w:p w:rsidR="003C33FD" w:rsidRPr="007818B6" w:rsidRDefault="003C33FD" w:rsidP="007818B6">
            <w:pPr>
              <w:jc w:val="center"/>
              <w:rPr>
                <w:sz w:val="24"/>
                <w:szCs w:val="24"/>
              </w:rPr>
            </w:pPr>
          </w:p>
        </w:tc>
        <w:tc>
          <w:tcPr>
            <w:tcW w:w="814" w:type="dxa"/>
            <w:tcBorders>
              <w:top w:val="nil"/>
              <w:left w:val="nil"/>
              <w:bottom w:val="single" w:sz="4" w:space="0" w:color="auto"/>
              <w:right w:val="single" w:sz="4" w:space="0" w:color="auto"/>
            </w:tcBorders>
            <w:shd w:val="clear" w:color="000000" w:fill="FFFFFF"/>
            <w:vAlign w:val="center"/>
            <w:hideMark/>
          </w:tcPr>
          <w:p w:rsidR="003C33FD" w:rsidRPr="007818B6" w:rsidRDefault="003C33FD" w:rsidP="007818B6">
            <w:pPr>
              <w:jc w:val="right"/>
              <w:rPr>
                <w:sz w:val="24"/>
                <w:szCs w:val="24"/>
              </w:rPr>
            </w:pPr>
          </w:p>
        </w:tc>
        <w:tc>
          <w:tcPr>
            <w:tcW w:w="986" w:type="dxa"/>
            <w:tcBorders>
              <w:top w:val="nil"/>
              <w:left w:val="nil"/>
              <w:bottom w:val="single" w:sz="4" w:space="0" w:color="auto"/>
              <w:right w:val="single" w:sz="4" w:space="0" w:color="auto"/>
            </w:tcBorders>
            <w:shd w:val="clear" w:color="000000" w:fill="FFFFFF"/>
            <w:vAlign w:val="center"/>
            <w:hideMark/>
          </w:tcPr>
          <w:p w:rsidR="003C33FD" w:rsidRPr="007818B6" w:rsidRDefault="003C33FD" w:rsidP="007818B6">
            <w:pPr>
              <w:jc w:val="right"/>
              <w:rPr>
                <w:sz w:val="24"/>
                <w:szCs w:val="24"/>
              </w:rPr>
            </w:pPr>
          </w:p>
        </w:tc>
        <w:tc>
          <w:tcPr>
            <w:tcW w:w="810" w:type="dxa"/>
            <w:tcBorders>
              <w:top w:val="single" w:sz="4" w:space="0" w:color="auto"/>
              <w:left w:val="nil"/>
              <w:bottom w:val="single" w:sz="4" w:space="0" w:color="auto"/>
              <w:right w:val="single" w:sz="4" w:space="0" w:color="auto"/>
            </w:tcBorders>
            <w:shd w:val="clear" w:color="000000" w:fill="FFFFFF"/>
          </w:tcPr>
          <w:p w:rsidR="003C33FD" w:rsidRPr="007818B6" w:rsidRDefault="003C33FD" w:rsidP="007818B6">
            <w:pPr>
              <w:jc w:val="right"/>
              <w:rPr>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000000" w:fill="FFFFFF"/>
          </w:tcPr>
          <w:p w:rsidR="003C33FD" w:rsidRPr="007818B6" w:rsidRDefault="003C33FD" w:rsidP="007818B6">
            <w:pPr>
              <w:jc w:val="right"/>
              <w:rPr>
                <w:sz w:val="24"/>
                <w:szCs w:val="24"/>
              </w:rPr>
            </w:pPr>
          </w:p>
        </w:tc>
        <w:tc>
          <w:tcPr>
            <w:tcW w:w="810" w:type="dxa"/>
            <w:tcBorders>
              <w:top w:val="nil"/>
              <w:left w:val="single" w:sz="4" w:space="0" w:color="auto"/>
              <w:bottom w:val="single" w:sz="4" w:space="0" w:color="auto"/>
              <w:right w:val="single" w:sz="4" w:space="0" w:color="auto"/>
            </w:tcBorders>
            <w:shd w:val="clear" w:color="000000" w:fill="FFFFFF"/>
          </w:tcPr>
          <w:p w:rsidR="003C33FD" w:rsidRPr="007818B6" w:rsidRDefault="003C33FD" w:rsidP="007818B6">
            <w:pPr>
              <w:jc w:val="right"/>
              <w:rPr>
                <w:sz w:val="24"/>
                <w:szCs w:val="24"/>
              </w:rPr>
            </w:pPr>
          </w:p>
        </w:tc>
        <w:tc>
          <w:tcPr>
            <w:tcW w:w="814" w:type="dxa"/>
            <w:tcBorders>
              <w:top w:val="nil"/>
              <w:left w:val="single" w:sz="4" w:space="0" w:color="auto"/>
              <w:bottom w:val="single" w:sz="4" w:space="0" w:color="auto"/>
              <w:right w:val="single" w:sz="4" w:space="0" w:color="auto"/>
            </w:tcBorders>
            <w:shd w:val="clear" w:color="000000" w:fill="FFFFFF"/>
          </w:tcPr>
          <w:p w:rsidR="003C33FD" w:rsidRPr="007818B6" w:rsidRDefault="003C33FD" w:rsidP="007818B6">
            <w:pPr>
              <w:jc w:val="right"/>
              <w:rPr>
                <w:sz w:val="24"/>
                <w:szCs w:val="24"/>
              </w:rPr>
            </w:pPr>
          </w:p>
        </w:tc>
        <w:tc>
          <w:tcPr>
            <w:tcW w:w="900" w:type="dxa"/>
            <w:tcBorders>
              <w:top w:val="nil"/>
              <w:left w:val="single" w:sz="4" w:space="0" w:color="auto"/>
              <w:bottom w:val="single" w:sz="4" w:space="0" w:color="auto"/>
              <w:right w:val="single" w:sz="4" w:space="0" w:color="auto"/>
            </w:tcBorders>
            <w:shd w:val="clear" w:color="000000" w:fill="FFFFFF"/>
          </w:tcPr>
          <w:p w:rsidR="003C33FD" w:rsidRPr="007818B6" w:rsidRDefault="003C33FD" w:rsidP="007818B6">
            <w:pPr>
              <w:jc w:val="right"/>
              <w:rPr>
                <w:sz w:val="24"/>
                <w:szCs w:val="24"/>
              </w:rPr>
            </w:pPr>
          </w:p>
        </w:tc>
        <w:tc>
          <w:tcPr>
            <w:tcW w:w="896" w:type="dxa"/>
            <w:tcBorders>
              <w:top w:val="nil"/>
              <w:left w:val="single" w:sz="4" w:space="0" w:color="auto"/>
              <w:bottom w:val="single" w:sz="4" w:space="0" w:color="auto"/>
              <w:right w:val="single" w:sz="4" w:space="0" w:color="auto"/>
            </w:tcBorders>
            <w:shd w:val="clear" w:color="000000" w:fill="FFFFFF"/>
          </w:tcPr>
          <w:p w:rsidR="003C33FD" w:rsidRPr="007818B6" w:rsidRDefault="003C33FD" w:rsidP="007818B6">
            <w:pPr>
              <w:jc w:val="right"/>
              <w:rPr>
                <w:sz w:val="24"/>
                <w:szCs w:val="24"/>
              </w:rPr>
            </w:pPr>
          </w:p>
        </w:tc>
      </w:tr>
      <w:tr w:rsidR="003C33FD" w:rsidRPr="007818B6" w:rsidTr="003C33FD">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3C33FD" w:rsidRPr="007818B6" w:rsidRDefault="003C33FD" w:rsidP="007818B6">
            <w:pPr>
              <w:rPr>
                <w:sz w:val="24"/>
                <w:szCs w:val="24"/>
              </w:rPr>
            </w:pPr>
            <w:r w:rsidRPr="007818B6">
              <w:rPr>
                <w:sz w:val="24"/>
                <w:szCs w:val="24"/>
              </w:rPr>
              <w:t>3</w:t>
            </w:r>
          </w:p>
        </w:tc>
        <w:tc>
          <w:tcPr>
            <w:tcW w:w="894" w:type="dxa"/>
            <w:tcBorders>
              <w:top w:val="nil"/>
              <w:left w:val="nil"/>
              <w:bottom w:val="single" w:sz="4" w:space="0" w:color="auto"/>
              <w:right w:val="single" w:sz="4" w:space="0" w:color="auto"/>
            </w:tcBorders>
            <w:shd w:val="clear" w:color="000000" w:fill="FFFFFF"/>
            <w:noWrap/>
            <w:vAlign w:val="center"/>
            <w:hideMark/>
          </w:tcPr>
          <w:p w:rsidR="003C33FD" w:rsidRPr="007818B6" w:rsidRDefault="003C33FD" w:rsidP="007818B6">
            <w:pPr>
              <w:jc w:val="right"/>
              <w:rPr>
                <w:sz w:val="24"/>
                <w:szCs w:val="24"/>
              </w:rPr>
            </w:pPr>
          </w:p>
        </w:tc>
        <w:tc>
          <w:tcPr>
            <w:tcW w:w="1260" w:type="dxa"/>
            <w:tcBorders>
              <w:top w:val="nil"/>
              <w:left w:val="nil"/>
              <w:bottom w:val="single" w:sz="4" w:space="0" w:color="auto"/>
              <w:right w:val="single" w:sz="4" w:space="0" w:color="auto"/>
            </w:tcBorders>
            <w:shd w:val="clear" w:color="000000" w:fill="FFFFFF"/>
            <w:vAlign w:val="center"/>
            <w:hideMark/>
          </w:tcPr>
          <w:p w:rsidR="003C33FD" w:rsidRPr="007818B6" w:rsidRDefault="003C33FD" w:rsidP="007818B6">
            <w:pPr>
              <w:rPr>
                <w:sz w:val="24"/>
                <w:szCs w:val="24"/>
              </w:rPr>
            </w:pPr>
          </w:p>
        </w:tc>
        <w:tc>
          <w:tcPr>
            <w:tcW w:w="1080" w:type="dxa"/>
            <w:tcBorders>
              <w:top w:val="nil"/>
              <w:left w:val="nil"/>
              <w:bottom w:val="single" w:sz="4" w:space="0" w:color="auto"/>
              <w:right w:val="single" w:sz="4" w:space="0" w:color="auto"/>
            </w:tcBorders>
            <w:shd w:val="clear" w:color="000000" w:fill="FFFFFF"/>
            <w:vAlign w:val="center"/>
            <w:hideMark/>
          </w:tcPr>
          <w:p w:rsidR="003C33FD" w:rsidRPr="007818B6" w:rsidRDefault="003C33FD" w:rsidP="007818B6">
            <w:pPr>
              <w:rPr>
                <w:sz w:val="24"/>
                <w:szCs w:val="24"/>
              </w:rPr>
            </w:pPr>
          </w:p>
        </w:tc>
        <w:tc>
          <w:tcPr>
            <w:tcW w:w="960" w:type="dxa"/>
            <w:tcBorders>
              <w:top w:val="nil"/>
              <w:left w:val="nil"/>
              <w:bottom w:val="single" w:sz="4" w:space="0" w:color="auto"/>
              <w:right w:val="single" w:sz="4" w:space="0" w:color="auto"/>
            </w:tcBorders>
            <w:shd w:val="clear" w:color="000000" w:fill="FFFFFF"/>
            <w:vAlign w:val="center"/>
            <w:hideMark/>
          </w:tcPr>
          <w:p w:rsidR="003C33FD" w:rsidRPr="007818B6" w:rsidRDefault="003C33FD" w:rsidP="007818B6">
            <w:pPr>
              <w:jc w:val="center"/>
              <w:rPr>
                <w:sz w:val="24"/>
                <w:szCs w:val="24"/>
              </w:rPr>
            </w:pPr>
          </w:p>
        </w:tc>
        <w:tc>
          <w:tcPr>
            <w:tcW w:w="840" w:type="dxa"/>
            <w:tcBorders>
              <w:top w:val="nil"/>
              <w:left w:val="nil"/>
              <w:bottom w:val="single" w:sz="4" w:space="0" w:color="auto"/>
              <w:right w:val="single" w:sz="4" w:space="0" w:color="auto"/>
            </w:tcBorders>
            <w:shd w:val="clear" w:color="000000" w:fill="FFFFFF"/>
            <w:vAlign w:val="center"/>
            <w:hideMark/>
          </w:tcPr>
          <w:p w:rsidR="003C33FD" w:rsidRPr="007818B6" w:rsidRDefault="003C33FD" w:rsidP="007818B6">
            <w:pPr>
              <w:jc w:val="center"/>
              <w:rPr>
                <w:sz w:val="24"/>
                <w:szCs w:val="24"/>
              </w:rPr>
            </w:pPr>
          </w:p>
        </w:tc>
        <w:tc>
          <w:tcPr>
            <w:tcW w:w="990" w:type="dxa"/>
            <w:tcBorders>
              <w:top w:val="nil"/>
              <w:left w:val="nil"/>
              <w:bottom w:val="single" w:sz="4" w:space="0" w:color="auto"/>
              <w:right w:val="single" w:sz="4" w:space="0" w:color="auto"/>
            </w:tcBorders>
            <w:shd w:val="clear" w:color="000000" w:fill="FFFFFF"/>
            <w:vAlign w:val="center"/>
            <w:hideMark/>
          </w:tcPr>
          <w:p w:rsidR="003C33FD" w:rsidRPr="007818B6" w:rsidRDefault="003C33FD" w:rsidP="007818B6">
            <w:pPr>
              <w:jc w:val="center"/>
              <w:rPr>
                <w:sz w:val="24"/>
                <w:szCs w:val="24"/>
              </w:rPr>
            </w:pPr>
          </w:p>
        </w:tc>
        <w:tc>
          <w:tcPr>
            <w:tcW w:w="814" w:type="dxa"/>
            <w:tcBorders>
              <w:top w:val="nil"/>
              <w:left w:val="nil"/>
              <w:bottom w:val="single" w:sz="4" w:space="0" w:color="auto"/>
              <w:right w:val="single" w:sz="4" w:space="0" w:color="auto"/>
            </w:tcBorders>
            <w:shd w:val="clear" w:color="000000" w:fill="FFFFFF"/>
            <w:vAlign w:val="center"/>
            <w:hideMark/>
          </w:tcPr>
          <w:p w:rsidR="003C33FD" w:rsidRPr="007818B6" w:rsidRDefault="003C33FD" w:rsidP="007818B6">
            <w:pPr>
              <w:jc w:val="right"/>
              <w:rPr>
                <w:sz w:val="24"/>
                <w:szCs w:val="24"/>
              </w:rPr>
            </w:pPr>
          </w:p>
        </w:tc>
        <w:tc>
          <w:tcPr>
            <w:tcW w:w="986" w:type="dxa"/>
            <w:tcBorders>
              <w:top w:val="nil"/>
              <w:left w:val="nil"/>
              <w:bottom w:val="single" w:sz="4" w:space="0" w:color="auto"/>
              <w:right w:val="single" w:sz="4" w:space="0" w:color="auto"/>
            </w:tcBorders>
            <w:shd w:val="clear" w:color="000000" w:fill="FFFFFF"/>
            <w:vAlign w:val="center"/>
            <w:hideMark/>
          </w:tcPr>
          <w:p w:rsidR="003C33FD" w:rsidRPr="007818B6" w:rsidRDefault="003C33FD" w:rsidP="007818B6">
            <w:pPr>
              <w:jc w:val="right"/>
              <w:rPr>
                <w:sz w:val="24"/>
                <w:szCs w:val="24"/>
              </w:rPr>
            </w:pPr>
          </w:p>
        </w:tc>
        <w:tc>
          <w:tcPr>
            <w:tcW w:w="810" w:type="dxa"/>
            <w:tcBorders>
              <w:top w:val="single" w:sz="4" w:space="0" w:color="auto"/>
              <w:left w:val="nil"/>
              <w:bottom w:val="single" w:sz="4" w:space="0" w:color="auto"/>
              <w:right w:val="single" w:sz="4" w:space="0" w:color="auto"/>
            </w:tcBorders>
            <w:shd w:val="clear" w:color="000000" w:fill="FFFFFF"/>
          </w:tcPr>
          <w:p w:rsidR="003C33FD" w:rsidRPr="007818B6" w:rsidRDefault="003C33FD" w:rsidP="007818B6">
            <w:pPr>
              <w:jc w:val="right"/>
              <w:rPr>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000000" w:fill="FFFFFF"/>
          </w:tcPr>
          <w:p w:rsidR="003C33FD" w:rsidRPr="007818B6" w:rsidRDefault="003C33FD" w:rsidP="007818B6">
            <w:pPr>
              <w:jc w:val="right"/>
              <w:rPr>
                <w:sz w:val="24"/>
                <w:szCs w:val="24"/>
              </w:rPr>
            </w:pPr>
          </w:p>
        </w:tc>
        <w:tc>
          <w:tcPr>
            <w:tcW w:w="810" w:type="dxa"/>
            <w:tcBorders>
              <w:top w:val="nil"/>
              <w:left w:val="single" w:sz="4" w:space="0" w:color="auto"/>
              <w:bottom w:val="single" w:sz="4" w:space="0" w:color="auto"/>
              <w:right w:val="single" w:sz="4" w:space="0" w:color="auto"/>
            </w:tcBorders>
            <w:shd w:val="clear" w:color="000000" w:fill="FFFFFF"/>
          </w:tcPr>
          <w:p w:rsidR="003C33FD" w:rsidRPr="007818B6" w:rsidRDefault="003C33FD" w:rsidP="007818B6">
            <w:pPr>
              <w:jc w:val="right"/>
              <w:rPr>
                <w:sz w:val="24"/>
                <w:szCs w:val="24"/>
              </w:rPr>
            </w:pPr>
          </w:p>
        </w:tc>
        <w:tc>
          <w:tcPr>
            <w:tcW w:w="814" w:type="dxa"/>
            <w:tcBorders>
              <w:top w:val="nil"/>
              <w:left w:val="single" w:sz="4" w:space="0" w:color="auto"/>
              <w:bottom w:val="single" w:sz="4" w:space="0" w:color="auto"/>
              <w:right w:val="single" w:sz="4" w:space="0" w:color="auto"/>
            </w:tcBorders>
            <w:shd w:val="clear" w:color="000000" w:fill="FFFFFF"/>
          </w:tcPr>
          <w:p w:rsidR="003C33FD" w:rsidRPr="007818B6" w:rsidRDefault="003C33FD" w:rsidP="007818B6">
            <w:pPr>
              <w:jc w:val="right"/>
              <w:rPr>
                <w:sz w:val="24"/>
                <w:szCs w:val="24"/>
              </w:rPr>
            </w:pPr>
          </w:p>
        </w:tc>
        <w:tc>
          <w:tcPr>
            <w:tcW w:w="900" w:type="dxa"/>
            <w:tcBorders>
              <w:top w:val="nil"/>
              <w:left w:val="single" w:sz="4" w:space="0" w:color="auto"/>
              <w:bottom w:val="single" w:sz="4" w:space="0" w:color="auto"/>
              <w:right w:val="single" w:sz="4" w:space="0" w:color="auto"/>
            </w:tcBorders>
            <w:shd w:val="clear" w:color="000000" w:fill="FFFFFF"/>
          </w:tcPr>
          <w:p w:rsidR="003C33FD" w:rsidRPr="007818B6" w:rsidRDefault="003C33FD" w:rsidP="007818B6">
            <w:pPr>
              <w:jc w:val="right"/>
              <w:rPr>
                <w:sz w:val="24"/>
                <w:szCs w:val="24"/>
              </w:rPr>
            </w:pPr>
          </w:p>
        </w:tc>
        <w:tc>
          <w:tcPr>
            <w:tcW w:w="896" w:type="dxa"/>
            <w:tcBorders>
              <w:top w:val="nil"/>
              <w:left w:val="single" w:sz="4" w:space="0" w:color="auto"/>
              <w:bottom w:val="single" w:sz="4" w:space="0" w:color="auto"/>
              <w:right w:val="single" w:sz="4" w:space="0" w:color="auto"/>
            </w:tcBorders>
            <w:shd w:val="clear" w:color="000000" w:fill="FFFFFF"/>
          </w:tcPr>
          <w:p w:rsidR="003C33FD" w:rsidRPr="007818B6" w:rsidRDefault="003C33FD" w:rsidP="007818B6">
            <w:pPr>
              <w:jc w:val="right"/>
              <w:rPr>
                <w:sz w:val="24"/>
                <w:szCs w:val="24"/>
              </w:rPr>
            </w:pPr>
          </w:p>
        </w:tc>
      </w:tr>
    </w:tbl>
    <w:p w:rsidR="007818B6" w:rsidRDefault="007818B6" w:rsidP="007818B6">
      <w:pPr>
        <w:ind w:left="720" w:firstLine="720"/>
      </w:pPr>
    </w:p>
    <w:p w:rsidR="007818B6" w:rsidRDefault="007818B6" w:rsidP="007818B6">
      <w:pPr>
        <w:ind w:left="720" w:firstLine="720"/>
      </w:pPr>
    </w:p>
    <w:p w:rsidR="007818B6" w:rsidRDefault="007818B6"/>
    <w:p w:rsidR="007818B6" w:rsidRDefault="007818B6"/>
    <w:p w:rsidR="007818B6" w:rsidRDefault="007818B6"/>
    <w:p w:rsidR="007818B6" w:rsidRDefault="007818B6"/>
    <w:p w:rsidR="007818B6" w:rsidRDefault="007818B6"/>
    <w:p w:rsidR="007818B6" w:rsidRDefault="007818B6"/>
    <w:p w:rsidR="007818B6" w:rsidRDefault="007818B6"/>
    <w:sectPr w:rsidR="007818B6" w:rsidSect="007818B6">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7F0A6BF4"/>
    <w:multiLevelType w:val="hybridMultilevel"/>
    <w:tmpl w:val="622EE854"/>
    <w:lvl w:ilvl="0" w:tplc="1E22538A">
      <w:start w:val="2"/>
      <w:numFmt w:val="decimal"/>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num w:numId="1">
    <w:abstractNumId w:val="0"/>
    <w:lvlOverride w:ilvl="0">
      <w:lvl w:ilvl="0">
        <w:start w:val="2105"/>
        <w:numFmt w:val="bullet"/>
        <w:lvlText w:val="-"/>
        <w:legacy w:legacy="1" w:legacySpace="0" w:legacyIndent="360"/>
        <w:lvlJc w:val="left"/>
        <w:pPr>
          <w:ind w:left="360" w:hanging="360"/>
        </w:p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6F5F2F"/>
    <w:rsid w:val="00106374"/>
    <w:rsid w:val="003C33FD"/>
    <w:rsid w:val="005C5FA8"/>
    <w:rsid w:val="005D1F0D"/>
    <w:rsid w:val="006F5F2F"/>
    <w:rsid w:val="0071369C"/>
    <w:rsid w:val="007818B6"/>
    <w:rsid w:val="007A5899"/>
    <w:rsid w:val="00840558"/>
    <w:rsid w:val="00883141"/>
    <w:rsid w:val="009718BB"/>
    <w:rsid w:val="00C153A4"/>
    <w:rsid w:val="00C96EEA"/>
    <w:rsid w:val="00D940C3"/>
    <w:rsid w:val="00EE01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4098"/>
    <o:shapelayout v:ext="edit">
      <o:idmap v:ext="edit" data="1"/>
      <o:rules v:ext="edit">
        <o:r id="V:Rule1"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F2F"/>
    <w:pPr>
      <w:spacing w:after="0" w:line="240" w:lineRule="auto"/>
    </w:pPr>
    <w:rPr>
      <w:rFonts w:ascii="Times New Roman" w:eastAsia="Times New Roman" w:hAnsi="Times New Roman" w:cs="Times New Roman"/>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7290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6</Pages>
  <Words>1751</Words>
  <Characters>9986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dcterms:created xsi:type="dcterms:W3CDTF">2020-09-28T10:19:00Z</dcterms:created>
  <dcterms:modified xsi:type="dcterms:W3CDTF">2020-09-30T10:18:00Z</dcterms:modified>
</cp:coreProperties>
</file>